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color w:val="7F7F7F" w:themeColor="text1" w:themeTint="80"/>
          <w:sz w:val="32"/>
          <w:szCs w:val="32"/>
        </w:rPr>
        <w:id w:val="294960500"/>
        <w:docPartObj>
          <w:docPartGallery w:val="Cover Pages"/>
          <w:docPartUnique/>
        </w:docPartObj>
      </w:sdtPr>
      <w:sdtEndPr>
        <w:rPr>
          <w:color w:val="auto"/>
          <w:sz w:val="22"/>
          <w:szCs w:val="22"/>
        </w:rPr>
      </w:sdtEndPr>
      <w:sdtContent>
        <w:p w:rsidR="002E37B6" w:rsidRDefault="002E37B6" w:rsidP="000B2651">
          <w:pPr>
            <w:jc w:val="both"/>
          </w:pPr>
          <w:r w:rsidRPr="002624C2">
            <w:rPr>
              <w:noProof/>
              <w:color w:val="C4BC96" w:themeColor="background2" w:themeShade="BF"/>
              <w:sz w:val="32"/>
              <w:szCs w:val="32"/>
              <w:lang w:eastAsia="en-US"/>
            </w:rPr>
            <w:pict>
              <v:rect id="_x0000_s1029" style="position:absolute;left:0;text-align:left;margin-left:29.9pt;margin-top:236.9pt;width:535.75pt;height:57.05pt;z-index:251661312;mso-width-percent:900;mso-position-horizontal-relative:page;mso-position-vertical-relative:page;mso-width-percent:900" o:allowincell="f" fillcolor="#ffc000" stroked="f">
                <v:fill opacity="58982f" color2="red" rotate="t" focusposition=".5,.5" focussize="" focus="100%" type="gradientRadial"/>
                <v:textbox style="mso-next-textbox:#_x0000_s1029" inset="18pt,0,18pt,0">
                  <w:txbxContent>
                    <w:tbl>
                      <w:tblPr>
                        <w:tblW w:w="5000" w:type="pct"/>
                        <w:tblBorders>
                          <w:top w:val="single" w:sz="18" w:space="0" w:color="auto"/>
                          <w:left w:val="single" w:sz="18" w:space="0" w:color="auto"/>
                          <w:bottom w:val="single" w:sz="18" w:space="0" w:color="auto"/>
                          <w:right w:val="single" w:sz="18" w:space="0" w:color="auto"/>
                        </w:tblBorders>
                        <w:tblCellMar>
                          <w:left w:w="360" w:type="dxa"/>
                          <w:right w:w="360" w:type="dxa"/>
                        </w:tblCellMar>
                        <w:tblLook w:val="04A0"/>
                      </w:tblPr>
                      <w:tblGrid>
                        <w:gridCol w:w="3620"/>
                        <w:gridCol w:w="7110"/>
                      </w:tblGrid>
                      <w:tr w:rsidR="000B2651" w:rsidTr="007D3773">
                        <w:trPr>
                          <w:trHeight w:val="1080"/>
                        </w:trPr>
                        <w:sdt>
                          <w:sdtPr>
                            <w:rPr>
                              <w:smallCaps/>
                              <w:sz w:val="40"/>
                              <w:szCs w:val="40"/>
                            </w:rPr>
                            <w:alias w:val="Società"/>
                            <w:id w:val="708215525"/>
                            <w:placeholder>
                              <w:docPart w:val="65B95B68BD684050B8FC1ED6BA96F415"/>
                            </w:placeholder>
                            <w:dataBinding w:prefixMappings="xmlns:ns0='http://schemas.openxmlformats.org/officeDocument/2006/extended-properties'" w:xpath="/ns0:Properties[1]/ns0:Company[1]" w:storeItemID="{6668398D-A668-4E3E-A5EB-62B293D839F1}"/>
                            <w:text/>
                          </w:sdtPr>
                          <w:sdtContent>
                            <w:tc>
                              <w:tcPr>
                                <w:tcW w:w="1687" w:type="pct"/>
                                <w:shd w:val="clear" w:color="auto" w:fill="FFFF00"/>
                                <w:vAlign w:val="center"/>
                              </w:tcPr>
                              <w:p w:rsidR="000B2651" w:rsidRDefault="000B2651" w:rsidP="00FE080B">
                                <w:pPr>
                                  <w:pStyle w:val="Nessunaspaziatura"/>
                                  <w:rPr>
                                    <w:smallCaps/>
                                    <w:sz w:val="40"/>
                                    <w:szCs w:val="40"/>
                                  </w:rPr>
                                </w:pPr>
                                <w:r>
                                  <w:rPr>
                                    <w:smallCaps/>
                                    <w:sz w:val="40"/>
                                    <w:szCs w:val="40"/>
                                  </w:rPr>
                                  <w:t>Giovanna Cigliano</w:t>
                                </w:r>
                              </w:p>
                            </w:tc>
                          </w:sdtContent>
                        </w:sdt>
                        <w:sdt>
                          <w:sdtPr>
                            <w:rPr>
                              <w:smallCaps/>
                              <w:color w:val="000000" w:themeColor="text1"/>
                              <w:sz w:val="48"/>
                              <w:szCs w:val="48"/>
                            </w:rPr>
                            <w:alias w:val="Titolo"/>
                            <w:id w:val="708215526"/>
                            <w:placeholder>
                              <w:docPart w:val="0A13FAD65A834DC18B6C5F0754FF01E1"/>
                            </w:placeholder>
                            <w:dataBinding w:prefixMappings="xmlns:ns0='http://schemas.openxmlformats.org/package/2006/metadata/core-properties' xmlns:ns1='http://purl.org/dc/elements/1.1/'" w:xpath="/ns0:coreProperties[1]/ns1:title[1]" w:storeItemID="{6C3C8BC8-F283-45AE-878A-BAB7291924A1}"/>
                            <w:text/>
                          </w:sdtPr>
                          <w:sdtContent>
                            <w:tc>
                              <w:tcPr>
                                <w:tcW w:w="3313" w:type="pct"/>
                                <w:shd w:val="clear" w:color="auto" w:fill="auto"/>
                                <w:vAlign w:val="center"/>
                              </w:tcPr>
                              <w:p w:rsidR="000B2651" w:rsidRPr="00FE080B" w:rsidRDefault="00250DC4" w:rsidP="00FE080B">
                                <w:pPr>
                                  <w:pStyle w:val="Nessunaspaziatura"/>
                                  <w:rPr>
                                    <w:smallCaps/>
                                    <w:color w:val="000000" w:themeColor="text1"/>
                                    <w:sz w:val="48"/>
                                    <w:szCs w:val="48"/>
                                  </w:rPr>
                                </w:pPr>
                                <w:r>
                                  <w:rPr>
                                    <w:smallCaps/>
                                    <w:color w:val="000000" w:themeColor="text1"/>
                                    <w:sz w:val="48"/>
                                    <w:szCs w:val="48"/>
                                  </w:rPr>
                                  <w:t xml:space="preserve">Russia Contemporanea 1  Parte </w:t>
                                </w:r>
                              </w:p>
                            </w:tc>
                          </w:sdtContent>
                        </w:sdt>
                      </w:tr>
                    </w:tbl>
                    <w:p w:rsidR="000B2651" w:rsidRDefault="000B2651">
                      <w:pPr>
                        <w:pStyle w:val="Nessunaspaziatura"/>
                        <w:spacing w:line="14" w:lineRule="exact"/>
                      </w:pPr>
                    </w:p>
                  </w:txbxContent>
                </v:textbox>
                <w10:wrap anchorx="page" anchory="page"/>
              </v:rect>
            </w:pict>
          </w:r>
          <w:r w:rsidR="002624C2" w:rsidRPr="002624C2">
            <w:rPr>
              <w:noProof/>
              <w:color w:val="C4BC96" w:themeColor="background2" w:themeShade="BF"/>
              <w:sz w:val="32"/>
              <w:szCs w:val="32"/>
              <w:lang w:eastAsia="en-US"/>
            </w:rPr>
            <w:pict>
              <v:group id="_x0000_s1026" style="position:absolute;left:0;text-align:left;margin-left:0;margin-top:-.2pt;width:595.25pt;height:841.85pt;z-index:-251656192;mso-width-percent:1000;mso-height-percent:1000;mso-position-horizontal-relative:page;mso-position-vertical-relative:page;mso-width-percent:1000;mso-height-percent:1000" coordsize="12240,15840" o:allowincell="f">
                <v:rect id="_x0000_s1027" style="position:absolute;width:12240;height:15840;mso-width-percent:1000;mso-height-percent:1000;mso-position-horizontal:center;mso-position-horizontal-relative:page;mso-position-vertical:top;mso-position-vertical-relative:page;mso-width-percent:1000;mso-height-percent:1000" fillcolor="#5f497a [2407]" stroked="f"/>
                <v:rect id="_x0000_s1028" style="position:absolute;left:612;top:638;width:11016;height:14564;mso-width-percent:900;mso-height-percent:920;mso-position-horizontal:center;mso-position-horizontal-relative:page;mso-position-vertical:center;mso-position-vertical-relative:page;mso-width-percent:900;mso-height-percent:920" fillcolor="white [3212]" stroked="f"/>
                <w10:wrap anchorx="page" anchory="page"/>
              </v:group>
            </w:pict>
          </w:r>
          <w:r w:rsidR="007D3773">
            <w:rPr>
              <w:noProof/>
            </w:rPr>
            <w:drawing>
              <wp:inline distT="0" distB="0" distL="0" distR="0">
                <wp:extent cx="6105758" cy="2493818"/>
                <wp:effectExtent l="19050" t="0" r="9292" b="0"/>
                <wp:docPr id="8" name="Immagine 5" descr="Risultati immagini per rivoluzione ru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Risultati immagini per rivoluzione russa"/>
                        <pic:cNvPicPr>
                          <a:picLocks noChangeAspect="1" noChangeArrowheads="1"/>
                        </pic:cNvPicPr>
                      </pic:nvPicPr>
                      <pic:blipFill>
                        <a:blip r:embed="rId9"/>
                        <a:srcRect/>
                        <a:stretch>
                          <a:fillRect/>
                        </a:stretch>
                      </pic:blipFill>
                      <pic:spPr bwMode="auto">
                        <a:xfrm>
                          <a:off x="0" y="0"/>
                          <a:ext cx="6120130" cy="2499688"/>
                        </a:xfrm>
                        <a:prstGeom prst="rect">
                          <a:avLst/>
                        </a:prstGeom>
                        <a:noFill/>
                        <a:ln w="9525">
                          <a:noFill/>
                          <a:miter lim="800000"/>
                          <a:headEnd/>
                          <a:tailEnd/>
                        </a:ln>
                      </pic:spPr>
                    </pic:pic>
                  </a:graphicData>
                </a:graphic>
              </wp:inline>
            </w:drawing>
          </w:r>
          <w:r w:rsidRPr="002E37B6">
            <w:t xml:space="preserve"> </w:t>
          </w:r>
        </w:p>
        <w:p w:rsidR="00FE080B" w:rsidRDefault="002E37B6" w:rsidP="000B2651">
          <w:pPr>
            <w:jc w:val="both"/>
          </w:pPr>
          <w:r>
            <w:rPr>
              <w:noProof/>
            </w:rPr>
            <w:drawing>
              <wp:inline distT="0" distB="0" distL="0" distR="0">
                <wp:extent cx="6092137" cy="3206337"/>
                <wp:effectExtent l="19050" t="0" r="3863" b="0"/>
                <wp:docPr id="153" name="Immagine 15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Immagine correlata"/>
                        <pic:cNvPicPr>
                          <a:picLocks noChangeAspect="1" noChangeArrowheads="1"/>
                        </pic:cNvPicPr>
                      </pic:nvPicPr>
                      <pic:blipFill>
                        <a:blip r:embed="rId10"/>
                        <a:srcRect/>
                        <a:stretch>
                          <a:fillRect/>
                        </a:stretch>
                      </pic:blipFill>
                      <pic:spPr bwMode="auto">
                        <a:xfrm>
                          <a:off x="0" y="0"/>
                          <a:ext cx="6092190" cy="3206365"/>
                        </a:xfrm>
                        <a:prstGeom prst="rect">
                          <a:avLst/>
                        </a:prstGeom>
                        <a:noFill/>
                        <a:ln w="9525">
                          <a:noFill/>
                          <a:miter lim="800000"/>
                          <a:headEnd/>
                          <a:tailEnd/>
                        </a:ln>
                      </pic:spPr>
                    </pic:pic>
                  </a:graphicData>
                </a:graphic>
              </wp:inline>
            </w:drawing>
          </w:r>
          <w:r w:rsidRPr="002E37B6">
            <w:t xml:space="preserve"> </w:t>
          </w:r>
          <w:r w:rsidR="004D14A5">
            <w:rPr>
              <w:noProof/>
            </w:rPr>
            <w:drawing>
              <wp:inline distT="0" distB="0" distL="0" distR="0">
                <wp:extent cx="6119907" cy="2992581"/>
                <wp:effectExtent l="19050" t="0" r="0" b="0"/>
                <wp:docPr id="155" name="Immagine 15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Immagine correlata"/>
                        <pic:cNvPicPr>
                          <a:picLocks noChangeAspect="1" noChangeArrowheads="1"/>
                        </pic:cNvPicPr>
                      </pic:nvPicPr>
                      <pic:blipFill>
                        <a:blip r:embed="rId11"/>
                        <a:srcRect/>
                        <a:stretch>
                          <a:fillRect/>
                        </a:stretch>
                      </pic:blipFill>
                      <pic:spPr bwMode="auto">
                        <a:xfrm>
                          <a:off x="0" y="0"/>
                          <a:ext cx="6120130" cy="2992690"/>
                        </a:xfrm>
                        <a:prstGeom prst="rect">
                          <a:avLst/>
                        </a:prstGeom>
                        <a:noFill/>
                        <a:ln w="9525">
                          <a:noFill/>
                          <a:miter lim="800000"/>
                          <a:headEnd/>
                          <a:tailEnd/>
                        </a:ln>
                      </pic:spPr>
                    </pic:pic>
                  </a:graphicData>
                </a:graphic>
              </wp:inline>
            </w:drawing>
          </w:r>
        </w:p>
        <w:p w:rsidR="004D14A5" w:rsidRDefault="004D14A5" w:rsidP="000B2651">
          <w:pPr>
            <w:jc w:val="both"/>
            <w:rPr>
              <w:color w:val="7F7F7F" w:themeColor="text1" w:themeTint="80"/>
              <w:sz w:val="32"/>
              <w:szCs w:val="32"/>
            </w:rPr>
          </w:pPr>
        </w:p>
        <w:p w:rsidR="00FE080B" w:rsidRDefault="00FE080B" w:rsidP="000B2651">
          <w:pPr>
            <w:jc w:val="both"/>
            <w:rPr>
              <w:color w:val="7F7F7F" w:themeColor="text1" w:themeTint="80"/>
              <w:sz w:val="32"/>
              <w:szCs w:val="32"/>
            </w:rPr>
          </w:pPr>
        </w:p>
        <w:p w:rsidR="00FE080B" w:rsidRDefault="00FE080B" w:rsidP="000B2651">
          <w:pPr>
            <w:jc w:val="both"/>
            <w:rPr>
              <w:color w:val="7F7F7F" w:themeColor="text1" w:themeTint="80"/>
              <w:sz w:val="32"/>
              <w:szCs w:val="32"/>
            </w:rPr>
          </w:pPr>
        </w:p>
        <w:p w:rsidR="00250DC4" w:rsidRDefault="00FE080B" w:rsidP="00250DC4">
          <w:pPr>
            <w:jc w:val="both"/>
          </w:pPr>
          <w:r>
            <w:br w:type="page"/>
          </w:r>
        </w:p>
      </w:sdtContent>
    </w:sdt>
    <w:sdt>
      <w:sdtPr>
        <w:rPr>
          <w:b/>
          <w:bCs/>
        </w:rPr>
        <w:id w:val="294960772"/>
        <w:docPartObj>
          <w:docPartGallery w:val="Table of Contents"/>
          <w:docPartUnique/>
        </w:docPartObj>
      </w:sdtPr>
      <w:sdtEndPr>
        <w:rPr>
          <w:b w:val="0"/>
          <w:bCs w:val="0"/>
        </w:rPr>
      </w:sdtEndPr>
      <w:sdtContent>
        <w:p w:rsidR="00F65281" w:rsidRDefault="00F65281" w:rsidP="00250DC4">
          <w:pPr>
            <w:jc w:val="both"/>
          </w:pPr>
          <w:r>
            <w:t>Sommario</w:t>
          </w:r>
        </w:p>
        <w:p w:rsidR="00250DC4" w:rsidRDefault="002624C2">
          <w:pPr>
            <w:pStyle w:val="Sommario1"/>
            <w:tabs>
              <w:tab w:val="right" w:leader="dot" w:pos="9628"/>
            </w:tabs>
            <w:rPr>
              <w:noProof/>
            </w:rPr>
          </w:pPr>
          <w:r>
            <w:fldChar w:fldCharType="begin"/>
          </w:r>
          <w:r w:rsidR="00F65281">
            <w:instrText xml:space="preserve"> TOC \o "1-3" \h \z \u </w:instrText>
          </w:r>
          <w:r>
            <w:fldChar w:fldCharType="separate"/>
          </w:r>
          <w:hyperlink w:anchor="_Toc493625425" w:history="1">
            <w:r w:rsidR="00250DC4" w:rsidRPr="009D19D7">
              <w:rPr>
                <w:rStyle w:val="Collegamentoipertestuale"/>
                <w:noProof/>
              </w:rPr>
              <w:t>Introduzione</w:t>
            </w:r>
            <w:r w:rsidR="00250DC4">
              <w:rPr>
                <w:noProof/>
                <w:webHidden/>
              </w:rPr>
              <w:tab/>
            </w:r>
            <w:r w:rsidR="00250DC4">
              <w:rPr>
                <w:noProof/>
                <w:webHidden/>
              </w:rPr>
              <w:fldChar w:fldCharType="begin"/>
            </w:r>
            <w:r w:rsidR="00250DC4">
              <w:rPr>
                <w:noProof/>
                <w:webHidden/>
              </w:rPr>
              <w:instrText xml:space="preserve"> PAGEREF _Toc493625425 \h </w:instrText>
            </w:r>
            <w:r w:rsidR="00250DC4">
              <w:rPr>
                <w:noProof/>
                <w:webHidden/>
              </w:rPr>
            </w:r>
            <w:r w:rsidR="00250DC4">
              <w:rPr>
                <w:noProof/>
                <w:webHidden/>
              </w:rPr>
              <w:fldChar w:fldCharType="separate"/>
            </w:r>
            <w:r w:rsidR="00250DC4">
              <w:rPr>
                <w:noProof/>
                <w:webHidden/>
              </w:rPr>
              <w:t>5</w:t>
            </w:r>
            <w:r w:rsidR="00250DC4">
              <w:rPr>
                <w:noProof/>
                <w:webHidden/>
              </w:rPr>
              <w:fldChar w:fldCharType="end"/>
            </w:r>
          </w:hyperlink>
        </w:p>
        <w:p w:rsidR="00250DC4" w:rsidRDefault="00250DC4">
          <w:pPr>
            <w:pStyle w:val="Sommario1"/>
            <w:tabs>
              <w:tab w:val="right" w:leader="dot" w:pos="9628"/>
            </w:tabs>
            <w:rPr>
              <w:noProof/>
            </w:rPr>
          </w:pPr>
          <w:hyperlink w:anchor="_Toc493625426" w:history="1">
            <w:r w:rsidRPr="009D19D7">
              <w:rPr>
                <w:rStyle w:val="Collegamentoipertestuale"/>
                <w:noProof/>
              </w:rPr>
              <w:t>1° Capitolo: Alessandro II (1855-81) e le “grandi riforme”</w:t>
            </w:r>
            <w:r>
              <w:rPr>
                <w:noProof/>
                <w:webHidden/>
              </w:rPr>
              <w:tab/>
            </w:r>
            <w:r>
              <w:rPr>
                <w:noProof/>
                <w:webHidden/>
              </w:rPr>
              <w:fldChar w:fldCharType="begin"/>
            </w:r>
            <w:r>
              <w:rPr>
                <w:noProof/>
                <w:webHidden/>
              </w:rPr>
              <w:instrText xml:space="preserve"> PAGEREF _Toc493625426 \h </w:instrText>
            </w:r>
            <w:r>
              <w:rPr>
                <w:noProof/>
                <w:webHidden/>
              </w:rPr>
            </w:r>
            <w:r>
              <w:rPr>
                <w:noProof/>
                <w:webHidden/>
              </w:rPr>
              <w:fldChar w:fldCharType="separate"/>
            </w:r>
            <w:r>
              <w:rPr>
                <w:noProof/>
                <w:webHidden/>
              </w:rPr>
              <w:t>9</w:t>
            </w:r>
            <w:r>
              <w:rPr>
                <w:noProof/>
                <w:webHidden/>
              </w:rPr>
              <w:fldChar w:fldCharType="end"/>
            </w:r>
          </w:hyperlink>
        </w:p>
        <w:p w:rsidR="00250DC4" w:rsidRDefault="00250DC4">
          <w:pPr>
            <w:pStyle w:val="Sommario2"/>
            <w:tabs>
              <w:tab w:val="right" w:leader="dot" w:pos="9628"/>
            </w:tabs>
            <w:rPr>
              <w:noProof/>
            </w:rPr>
          </w:pPr>
          <w:hyperlink w:anchor="_Toc493625427" w:history="1">
            <w:r w:rsidRPr="009D19D7">
              <w:rPr>
                <w:rStyle w:val="Collegamentoipertestuale"/>
                <w:noProof/>
              </w:rPr>
              <w:t>L’abolizione del servaggio</w:t>
            </w:r>
            <w:r>
              <w:rPr>
                <w:noProof/>
                <w:webHidden/>
              </w:rPr>
              <w:tab/>
            </w:r>
            <w:r>
              <w:rPr>
                <w:noProof/>
                <w:webHidden/>
              </w:rPr>
              <w:fldChar w:fldCharType="begin"/>
            </w:r>
            <w:r>
              <w:rPr>
                <w:noProof/>
                <w:webHidden/>
              </w:rPr>
              <w:instrText xml:space="preserve"> PAGEREF _Toc493625427 \h </w:instrText>
            </w:r>
            <w:r>
              <w:rPr>
                <w:noProof/>
                <w:webHidden/>
              </w:rPr>
            </w:r>
            <w:r>
              <w:rPr>
                <w:noProof/>
                <w:webHidden/>
              </w:rPr>
              <w:fldChar w:fldCharType="separate"/>
            </w:r>
            <w:r>
              <w:rPr>
                <w:noProof/>
                <w:webHidden/>
              </w:rPr>
              <w:t>9</w:t>
            </w:r>
            <w:r>
              <w:rPr>
                <w:noProof/>
                <w:webHidden/>
              </w:rPr>
              <w:fldChar w:fldCharType="end"/>
            </w:r>
          </w:hyperlink>
        </w:p>
        <w:p w:rsidR="00250DC4" w:rsidRDefault="00250DC4">
          <w:pPr>
            <w:pStyle w:val="Sommario2"/>
            <w:tabs>
              <w:tab w:val="right" w:leader="dot" w:pos="9628"/>
            </w:tabs>
            <w:rPr>
              <w:noProof/>
            </w:rPr>
          </w:pPr>
          <w:hyperlink w:anchor="_Toc493625428" w:history="1">
            <w:r w:rsidRPr="009D19D7">
              <w:rPr>
                <w:rStyle w:val="Collegamentoipertestuale"/>
                <w:rFonts w:eastAsia="Times New Roman"/>
                <w:noProof/>
              </w:rPr>
              <w:t>Le altre riforme: amministrazione locale, giustizia, università, esercito</w:t>
            </w:r>
            <w:r>
              <w:rPr>
                <w:noProof/>
                <w:webHidden/>
              </w:rPr>
              <w:tab/>
            </w:r>
            <w:r>
              <w:rPr>
                <w:noProof/>
                <w:webHidden/>
              </w:rPr>
              <w:fldChar w:fldCharType="begin"/>
            </w:r>
            <w:r>
              <w:rPr>
                <w:noProof/>
                <w:webHidden/>
              </w:rPr>
              <w:instrText xml:space="preserve"> PAGEREF _Toc493625428 \h </w:instrText>
            </w:r>
            <w:r>
              <w:rPr>
                <w:noProof/>
                <w:webHidden/>
              </w:rPr>
            </w:r>
            <w:r>
              <w:rPr>
                <w:noProof/>
                <w:webHidden/>
              </w:rPr>
              <w:fldChar w:fldCharType="separate"/>
            </w:r>
            <w:r>
              <w:rPr>
                <w:noProof/>
                <w:webHidden/>
              </w:rPr>
              <w:t>11</w:t>
            </w:r>
            <w:r>
              <w:rPr>
                <w:noProof/>
                <w:webHidden/>
              </w:rPr>
              <w:fldChar w:fldCharType="end"/>
            </w:r>
          </w:hyperlink>
        </w:p>
        <w:p w:rsidR="00250DC4" w:rsidRDefault="00250DC4">
          <w:pPr>
            <w:pStyle w:val="Sommario2"/>
            <w:tabs>
              <w:tab w:val="right" w:leader="dot" w:pos="9628"/>
            </w:tabs>
            <w:rPr>
              <w:noProof/>
            </w:rPr>
          </w:pPr>
          <w:hyperlink w:anchor="_Toc493625429" w:history="1">
            <w:r w:rsidRPr="009D19D7">
              <w:rPr>
                <w:rStyle w:val="Collegamentoipertestuale"/>
                <w:noProof/>
              </w:rPr>
              <w:t>Intelligencija, populismo, movimento rivoluzionario</w:t>
            </w:r>
            <w:r>
              <w:rPr>
                <w:noProof/>
                <w:webHidden/>
              </w:rPr>
              <w:tab/>
            </w:r>
            <w:r>
              <w:rPr>
                <w:noProof/>
                <w:webHidden/>
              </w:rPr>
              <w:fldChar w:fldCharType="begin"/>
            </w:r>
            <w:r>
              <w:rPr>
                <w:noProof/>
                <w:webHidden/>
              </w:rPr>
              <w:instrText xml:space="preserve"> PAGEREF _Toc493625429 \h </w:instrText>
            </w:r>
            <w:r>
              <w:rPr>
                <w:noProof/>
                <w:webHidden/>
              </w:rPr>
            </w:r>
            <w:r>
              <w:rPr>
                <w:noProof/>
                <w:webHidden/>
              </w:rPr>
              <w:fldChar w:fldCharType="separate"/>
            </w:r>
            <w:r>
              <w:rPr>
                <w:noProof/>
                <w:webHidden/>
              </w:rPr>
              <w:t>15</w:t>
            </w:r>
            <w:r>
              <w:rPr>
                <w:noProof/>
                <w:webHidden/>
              </w:rPr>
              <w:fldChar w:fldCharType="end"/>
            </w:r>
          </w:hyperlink>
        </w:p>
        <w:p w:rsidR="00250DC4" w:rsidRDefault="00250DC4">
          <w:pPr>
            <w:pStyle w:val="Sommario2"/>
            <w:tabs>
              <w:tab w:val="right" w:leader="dot" w:pos="9628"/>
            </w:tabs>
            <w:rPr>
              <w:noProof/>
            </w:rPr>
          </w:pPr>
          <w:hyperlink w:anchor="_Toc493625430" w:history="1">
            <w:r w:rsidRPr="009D19D7">
              <w:rPr>
                <w:rStyle w:val="Collegamentoipertestuale"/>
                <w:noProof/>
              </w:rPr>
              <w:t>Politica delle nazionalità ed espansione imperiale</w:t>
            </w:r>
            <w:r>
              <w:rPr>
                <w:noProof/>
                <w:webHidden/>
              </w:rPr>
              <w:tab/>
            </w:r>
            <w:r>
              <w:rPr>
                <w:noProof/>
                <w:webHidden/>
              </w:rPr>
              <w:fldChar w:fldCharType="begin"/>
            </w:r>
            <w:r>
              <w:rPr>
                <w:noProof/>
                <w:webHidden/>
              </w:rPr>
              <w:instrText xml:space="preserve"> PAGEREF _Toc493625430 \h </w:instrText>
            </w:r>
            <w:r>
              <w:rPr>
                <w:noProof/>
                <w:webHidden/>
              </w:rPr>
            </w:r>
            <w:r>
              <w:rPr>
                <w:noProof/>
                <w:webHidden/>
              </w:rPr>
              <w:fldChar w:fldCharType="separate"/>
            </w:r>
            <w:r>
              <w:rPr>
                <w:noProof/>
                <w:webHidden/>
              </w:rPr>
              <w:t>18</w:t>
            </w:r>
            <w:r>
              <w:rPr>
                <w:noProof/>
                <w:webHidden/>
              </w:rPr>
              <w:fldChar w:fldCharType="end"/>
            </w:r>
          </w:hyperlink>
        </w:p>
        <w:p w:rsidR="00250DC4" w:rsidRDefault="00250DC4">
          <w:pPr>
            <w:pStyle w:val="Sommario2"/>
            <w:tabs>
              <w:tab w:val="right" w:leader="dot" w:pos="9628"/>
            </w:tabs>
            <w:rPr>
              <w:noProof/>
            </w:rPr>
          </w:pPr>
          <w:hyperlink w:anchor="_Toc493625431" w:history="1">
            <w:r w:rsidRPr="009D19D7">
              <w:rPr>
                <w:rStyle w:val="Collegamentoipertestuale"/>
                <w:noProof/>
              </w:rPr>
              <w:t>Crisi politica e terrorismo</w:t>
            </w:r>
            <w:r>
              <w:rPr>
                <w:noProof/>
                <w:webHidden/>
              </w:rPr>
              <w:tab/>
            </w:r>
            <w:r>
              <w:rPr>
                <w:noProof/>
                <w:webHidden/>
              </w:rPr>
              <w:fldChar w:fldCharType="begin"/>
            </w:r>
            <w:r>
              <w:rPr>
                <w:noProof/>
                <w:webHidden/>
              </w:rPr>
              <w:instrText xml:space="preserve"> PAGEREF _Toc493625431 \h </w:instrText>
            </w:r>
            <w:r>
              <w:rPr>
                <w:noProof/>
                <w:webHidden/>
              </w:rPr>
            </w:r>
            <w:r>
              <w:rPr>
                <w:noProof/>
                <w:webHidden/>
              </w:rPr>
              <w:fldChar w:fldCharType="separate"/>
            </w:r>
            <w:r>
              <w:rPr>
                <w:noProof/>
                <w:webHidden/>
              </w:rPr>
              <w:t>25</w:t>
            </w:r>
            <w:r>
              <w:rPr>
                <w:noProof/>
                <w:webHidden/>
              </w:rPr>
              <w:fldChar w:fldCharType="end"/>
            </w:r>
          </w:hyperlink>
        </w:p>
        <w:p w:rsidR="00250DC4" w:rsidRDefault="00250DC4">
          <w:pPr>
            <w:pStyle w:val="Sommario1"/>
            <w:tabs>
              <w:tab w:val="right" w:leader="dot" w:pos="9628"/>
            </w:tabs>
            <w:rPr>
              <w:noProof/>
            </w:rPr>
          </w:pPr>
          <w:hyperlink w:anchor="_Toc493625432" w:history="1">
            <w:r w:rsidRPr="009D19D7">
              <w:rPr>
                <w:rStyle w:val="Collegamentoipertestuale"/>
                <w:noProof/>
              </w:rPr>
              <w:t>2° Capitolo: Reazione autocratica, modernizzazione, risveglio politico (1881-1904)</w:t>
            </w:r>
            <w:r>
              <w:rPr>
                <w:noProof/>
                <w:webHidden/>
              </w:rPr>
              <w:tab/>
            </w:r>
            <w:r>
              <w:rPr>
                <w:noProof/>
                <w:webHidden/>
              </w:rPr>
              <w:fldChar w:fldCharType="begin"/>
            </w:r>
            <w:r>
              <w:rPr>
                <w:noProof/>
                <w:webHidden/>
              </w:rPr>
              <w:instrText xml:space="preserve"> PAGEREF _Toc493625432 \h </w:instrText>
            </w:r>
            <w:r>
              <w:rPr>
                <w:noProof/>
                <w:webHidden/>
              </w:rPr>
            </w:r>
            <w:r>
              <w:rPr>
                <w:noProof/>
                <w:webHidden/>
              </w:rPr>
              <w:fldChar w:fldCharType="separate"/>
            </w:r>
            <w:r>
              <w:rPr>
                <w:noProof/>
                <w:webHidden/>
              </w:rPr>
              <w:t>28</w:t>
            </w:r>
            <w:r>
              <w:rPr>
                <w:noProof/>
                <w:webHidden/>
              </w:rPr>
              <w:fldChar w:fldCharType="end"/>
            </w:r>
          </w:hyperlink>
        </w:p>
        <w:p w:rsidR="00250DC4" w:rsidRDefault="00250DC4">
          <w:pPr>
            <w:pStyle w:val="Sommario2"/>
            <w:tabs>
              <w:tab w:val="right" w:leader="dot" w:pos="9628"/>
            </w:tabs>
            <w:rPr>
              <w:noProof/>
            </w:rPr>
          </w:pPr>
          <w:hyperlink w:anchor="_Toc493625433" w:history="1">
            <w:r w:rsidRPr="009D19D7">
              <w:rPr>
                <w:rStyle w:val="Collegamentoipertestuale"/>
                <w:noProof/>
              </w:rPr>
              <w:t>Controriforma politica e mobilitazione della società</w:t>
            </w:r>
            <w:r>
              <w:rPr>
                <w:noProof/>
                <w:webHidden/>
              </w:rPr>
              <w:tab/>
            </w:r>
            <w:r>
              <w:rPr>
                <w:noProof/>
                <w:webHidden/>
              </w:rPr>
              <w:fldChar w:fldCharType="begin"/>
            </w:r>
            <w:r>
              <w:rPr>
                <w:noProof/>
                <w:webHidden/>
              </w:rPr>
              <w:instrText xml:space="preserve"> PAGEREF _Toc493625433 \h </w:instrText>
            </w:r>
            <w:r>
              <w:rPr>
                <w:noProof/>
                <w:webHidden/>
              </w:rPr>
            </w:r>
            <w:r>
              <w:rPr>
                <w:noProof/>
                <w:webHidden/>
              </w:rPr>
              <w:fldChar w:fldCharType="separate"/>
            </w:r>
            <w:r>
              <w:rPr>
                <w:noProof/>
                <w:webHidden/>
              </w:rPr>
              <w:t>28</w:t>
            </w:r>
            <w:r>
              <w:rPr>
                <w:noProof/>
                <w:webHidden/>
              </w:rPr>
              <w:fldChar w:fldCharType="end"/>
            </w:r>
          </w:hyperlink>
        </w:p>
        <w:p w:rsidR="00250DC4" w:rsidRDefault="00250DC4">
          <w:pPr>
            <w:pStyle w:val="Sommario2"/>
            <w:tabs>
              <w:tab w:val="right" w:leader="dot" w:pos="9628"/>
            </w:tabs>
            <w:rPr>
              <w:noProof/>
            </w:rPr>
          </w:pPr>
          <w:hyperlink w:anchor="_Toc493625434" w:history="1">
            <w:r w:rsidRPr="009D19D7">
              <w:rPr>
                <w:rStyle w:val="Collegamentoipertestuale"/>
                <w:noProof/>
              </w:rPr>
              <w:t>Decollo industriale e trasformazioni del mondo rurale</w:t>
            </w:r>
            <w:r>
              <w:rPr>
                <w:noProof/>
                <w:webHidden/>
              </w:rPr>
              <w:tab/>
            </w:r>
            <w:r>
              <w:rPr>
                <w:noProof/>
                <w:webHidden/>
              </w:rPr>
              <w:fldChar w:fldCharType="begin"/>
            </w:r>
            <w:r>
              <w:rPr>
                <w:noProof/>
                <w:webHidden/>
              </w:rPr>
              <w:instrText xml:space="preserve"> PAGEREF _Toc493625434 \h </w:instrText>
            </w:r>
            <w:r>
              <w:rPr>
                <w:noProof/>
                <w:webHidden/>
              </w:rPr>
            </w:r>
            <w:r>
              <w:rPr>
                <w:noProof/>
                <w:webHidden/>
              </w:rPr>
              <w:fldChar w:fldCharType="separate"/>
            </w:r>
            <w:r>
              <w:rPr>
                <w:noProof/>
                <w:webHidden/>
              </w:rPr>
              <w:t>32</w:t>
            </w:r>
            <w:r>
              <w:rPr>
                <w:noProof/>
                <w:webHidden/>
              </w:rPr>
              <w:fldChar w:fldCharType="end"/>
            </w:r>
          </w:hyperlink>
        </w:p>
        <w:p w:rsidR="00250DC4" w:rsidRDefault="00250DC4">
          <w:pPr>
            <w:pStyle w:val="Sommario2"/>
            <w:tabs>
              <w:tab w:val="right" w:leader="dot" w:pos="9628"/>
            </w:tabs>
            <w:rPr>
              <w:noProof/>
            </w:rPr>
          </w:pPr>
          <w:hyperlink w:anchor="_Toc493625435" w:history="1">
            <w:r w:rsidRPr="009D19D7">
              <w:rPr>
                <w:rStyle w:val="Collegamentoipertestuale"/>
                <w:noProof/>
              </w:rPr>
              <w:t>Società civile, opinione pubblica, questione sociale</w:t>
            </w:r>
            <w:r>
              <w:rPr>
                <w:noProof/>
                <w:webHidden/>
              </w:rPr>
              <w:tab/>
            </w:r>
            <w:r>
              <w:rPr>
                <w:noProof/>
                <w:webHidden/>
              </w:rPr>
              <w:fldChar w:fldCharType="begin"/>
            </w:r>
            <w:r>
              <w:rPr>
                <w:noProof/>
                <w:webHidden/>
              </w:rPr>
              <w:instrText xml:space="preserve"> PAGEREF _Toc493625435 \h </w:instrText>
            </w:r>
            <w:r>
              <w:rPr>
                <w:noProof/>
                <w:webHidden/>
              </w:rPr>
            </w:r>
            <w:r>
              <w:rPr>
                <w:noProof/>
                <w:webHidden/>
              </w:rPr>
              <w:fldChar w:fldCharType="separate"/>
            </w:r>
            <w:r>
              <w:rPr>
                <w:noProof/>
                <w:webHidden/>
              </w:rPr>
              <w:t>35</w:t>
            </w:r>
            <w:r>
              <w:rPr>
                <w:noProof/>
                <w:webHidden/>
              </w:rPr>
              <w:fldChar w:fldCharType="end"/>
            </w:r>
          </w:hyperlink>
        </w:p>
        <w:p w:rsidR="00250DC4" w:rsidRDefault="00250DC4">
          <w:pPr>
            <w:pStyle w:val="Sommario2"/>
            <w:tabs>
              <w:tab w:val="right" w:leader="dot" w:pos="9628"/>
            </w:tabs>
            <w:rPr>
              <w:noProof/>
            </w:rPr>
          </w:pPr>
          <w:hyperlink w:anchor="_Toc493625436" w:history="1">
            <w:r w:rsidRPr="009D19D7">
              <w:rPr>
                <w:rStyle w:val="Collegamentoipertestuale"/>
                <w:noProof/>
              </w:rPr>
              <w:t>Dalla crisi del populismo alla formazione dei partiti</w:t>
            </w:r>
            <w:r>
              <w:rPr>
                <w:noProof/>
                <w:webHidden/>
              </w:rPr>
              <w:tab/>
            </w:r>
            <w:r>
              <w:rPr>
                <w:noProof/>
                <w:webHidden/>
              </w:rPr>
              <w:fldChar w:fldCharType="begin"/>
            </w:r>
            <w:r>
              <w:rPr>
                <w:noProof/>
                <w:webHidden/>
              </w:rPr>
              <w:instrText xml:space="preserve"> PAGEREF _Toc493625436 \h </w:instrText>
            </w:r>
            <w:r>
              <w:rPr>
                <w:noProof/>
                <w:webHidden/>
              </w:rPr>
            </w:r>
            <w:r>
              <w:rPr>
                <w:noProof/>
                <w:webHidden/>
              </w:rPr>
              <w:fldChar w:fldCharType="separate"/>
            </w:r>
            <w:r>
              <w:rPr>
                <w:noProof/>
                <w:webHidden/>
              </w:rPr>
              <w:t>37</w:t>
            </w:r>
            <w:r>
              <w:rPr>
                <w:noProof/>
                <w:webHidden/>
              </w:rPr>
              <w:fldChar w:fldCharType="end"/>
            </w:r>
          </w:hyperlink>
        </w:p>
        <w:p w:rsidR="00250DC4" w:rsidRDefault="00250DC4">
          <w:pPr>
            <w:pStyle w:val="Sommario1"/>
            <w:tabs>
              <w:tab w:val="right" w:leader="dot" w:pos="9628"/>
            </w:tabs>
            <w:rPr>
              <w:noProof/>
            </w:rPr>
          </w:pPr>
          <w:hyperlink w:anchor="_Toc493625437" w:history="1">
            <w:r w:rsidRPr="009D19D7">
              <w:rPr>
                <w:rStyle w:val="Collegamentoipertestuale"/>
                <w:noProof/>
              </w:rPr>
              <w:t>3° Capitolo: La 1° rivoluzione russa (1905-1907)</w:t>
            </w:r>
            <w:r>
              <w:rPr>
                <w:noProof/>
                <w:webHidden/>
              </w:rPr>
              <w:tab/>
            </w:r>
            <w:r>
              <w:rPr>
                <w:noProof/>
                <w:webHidden/>
              </w:rPr>
              <w:fldChar w:fldCharType="begin"/>
            </w:r>
            <w:r>
              <w:rPr>
                <w:noProof/>
                <w:webHidden/>
              </w:rPr>
              <w:instrText xml:space="preserve"> PAGEREF _Toc493625437 \h </w:instrText>
            </w:r>
            <w:r>
              <w:rPr>
                <w:noProof/>
                <w:webHidden/>
              </w:rPr>
            </w:r>
            <w:r>
              <w:rPr>
                <w:noProof/>
                <w:webHidden/>
              </w:rPr>
              <w:fldChar w:fldCharType="separate"/>
            </w:r>
            <w:r>
              <w:rPr>
                <w:noProof/>
                <w:webHidden/>
              </w:rPr>
              <w:t>42</w:t>
            </w:r>
            <w:r>
              <w:rPr>
                <w:noProof/>
                <w:webHidden/>
              </w:rPr>
              <w:fldChar w:fldCharType="end"/>
            </w:r>
          </w:hyperlink>
        </w:p>
        <w:p w:rsidR="00250DC4" w:rsidRDefault="00250DC4">
          <w:pPr>
            <w:pStyle w:val="Sommario2"/>
            <w:tabs>
              <w:tab w:val="right" w:leader="dot" w:pos="9628"/>
            </w:tabs>
            <w:rPr>
              <w:noProof/>
            </w:rPr>
          </w:pPr>
          <w:hyperlink w:anchor="_Toc493625438" w:history="1">
            <w:r w:rsidRPr="009D19D7">
              <w:rPr>
                <w:rStyle w:val="Collegamentoipertestuale"/>
                <w:noProof/>
              </w:rPr>
              <w:t>Il1905 fra modelli occidentali ed esperienze extraeuropee</w:t>
            </w:r>
            <w:r>
              <w:rPr>
                <w:noProof/>
                <w:webHidden/>
              </w:rPr>
              <w:tab/>
            </w:r>
            <w:r>
              <w:rPr>
                <w:noProof/>
                <w:webHidden/>
              </w:rPr>
              <w:fldChar w:fldCharType="begin"/>
            </w:r>
            <w:r>
              <w:rPr>
                <w:noProof/>
                <w:webHidden/>
              </w:rPr>
              <w:instrText xml:space="preserve"> PAGEREF _Toc493625438 \h </w:instrText>
            </w:r>
            <w:r>
              <w:rPr>
                <w:noProof/>
                <w:webHidden/>
              </w:rPr>
            </w:r>
            <w:r>
              <w:rPr>
                <w:noProof/>
                <w:webHidden/>
              </w:rPr>
              <w:fldChar w:fldCharType="separate"/>
            </w:r>
            <w:r>
              <w:rPr>
                <w:noProof/>
                <w:webHidden/>
              </w:rPr>
              <w:t>42</w:t>
            </w:r>
            <w:r>
              <w:rPr>
                <w:noProof/>
                <w:webHidden/>
              </w:rPr>
              <w:fldChar w:fldCharType="end"/>
            </w:r>
          </w:hyperlink>
        </w:p>
        <w:p w:rsidR="00250DC4" w:rsidRDefault="00250DC4">
          <w:pPr>
            <w:pStyle w:val="Sommario2"/>
            <w:tabs>
              <w:tab w:val="right" w:leader="dot" w:pos="9628"/>
            </w:tabs>
            <w:rPr>
              <w:noProof/>
            </w:rPr>
          </w:pPr>
          <w:hyperlink w:anchor="_Toc493625439" w:history="1">
            <w:r w:rsidRPr="009D19D7">
              <w:rPr>
                <w:rStyle w:val="Collegamentoipertestuale"/>
                <w:noProof/>
              </w:rPr>
              <w:t>La crisi dell’Antico regime (estate 1904-primavera 1905)</w:t>
            </w:r>
            <w:r>
              <w:rPr>
                <w:noProof/>
                <w:webHidden/>
              </w:rPr>
              <w:tab/>
            </w:r>
            <w:r>
              <w:rPr>
                <w:noProof/>
                <w:webHidden/>
              </w:rPr>
              <w:fldChar w:fldCharType="begin"/>
            </w:r>
            <w:r>
              <w:rPr>
                <w:noProof/>
                <w:webHidden/>
              </w:rPr>
              <w:instrText xml:space="preserve"> PAGEREF _Toc493625439 \h </w:instrText>
            </w:r>
            <w:r>
              <w:rPr>
                <w:noProof/>
                <w:webHidden/>
              </w:rPr>
            </w:r>
            <w:r>
              <w:rPr>
                <w:noProof/>
                <w:webHidden/>
              </w:rPr>
              <w:fldChar w:fldCharType="separate"/>
            </w:r>
            <w:r>
              <w:rPr>
                <w:noProof/>
                <w:webHidden/>
              </w:rPr>
              <w:t>45</w:t>
            </w:r>
            <w:r>
              <w:rPr>
                <w:noProof/>
                <w:webHidden/>
              </w:rPr>
              <w:fldChar w:fldCharType="end"/>
            </w:r>
          </w:hyperlink>
        </w:p>
        <w:p w:rsidR="00250DC4" w:rsidRDefault="00250DC4">
          <w:pPr>
            <w:pStyle w:val="Sommario2"/>
            <w:tabs>
              <w:tab w:val="right" w:leader="dot" w:pos="9628"/>
            </w:tabs>
            <w:rPr>
              <w:noProof/>
            </w:rPr>
          </w:pPr>
          <w:hyperlink w:anchor="_Toc493625440" w:history="1">
            <w:r w:rsidRPr="009D19D7">
              <w:rPr>
                <w:rStyle w:val="Collegamentoipertestuale"/>
                <w:noProof/>
              </w:rPr>
              <w:t>La mobilitazione generale contro l’autocrazia (Maggio-Ottobre 1905)</w:t>
            </w:r>
            <w:r>
              <w:rPr>
                <w:noProof/>
                <w:webHidden/>
              </w:rPr>
              <w:tab/>
            </w:r>
            <w:r>
              <w:rPr>
                <w:noProof/>
                <w:webHidden/>
              </w:rPr>
              <w:fldChar w:fldCharType="begin"/>
            </w:r>
            <w:r>
              <w:rPr>
                <w:noProof/>
                <w:webHidden/>
              </w:rPr>
              <w:instrText xml:space="preserve"> PAGEREF _Toc493625440 \h </w:instrText>
            </w:r>
            <w:r>
              <w:rPr>
                <w:noProof/>
                <w:webHidden/>
              </w:rPr>
            </w:r>
            <w:r>
              <w:rPr>
                <w:noProof/>
                <w:webHidden/>
              </w:rPr>
              <w:fldChar w:fldCharType="separate"/>
            </w:r>
            <w:r>
              <w:rPr>
                <w:noProof/>
                <w:webHidden/>
              </w:rPr>
              <w:t>49</w:t>
            </w:r>
            <w:r>
              <w:rPr>
                <w:noProof/>
                <w:webHidden/>
              </w:rPr>
              <w:fldChar w:fldCharType="end"/>
            </w:r>
          </w:hyperlink>
        </w:p>
        <w:p w:rsidR="00250DC4" w:rsidRDefault="00250DC4">
          <w:pPr>
            <w:pStyle w:val="Sommario2"/>
            <w:tabs>
              <w:tab w:val="right" w:leader="dot" w:pos="9628"/>
            </w:tabs>
            <w:rPr>
              <w:noProof/>
            </w:rPr>
          </w:pPr>
          <w:hyperlink w:anchor="_Toc493625441" w:history="1">
            <w:r w:rsidRPr="009D19D7">
              <w:rPr>
                <w:rStyle w:val="Collegamentoipertestuale"/>
                <w:noProof/>
              </w:rPr>
              <w:t>Lo scontro frontale (Ottobre-Dicembre 1905)</w:t>
            </w:r>
            <w:r>
              <w:rPr>
                <w:noProof/>
                <w:webHidden/>
              </w:rPr>
              <w:tab/>
            </w:r>
            <w:r>
              <w:rPr>
                <w:noProof/>
                <w:webHidden/>
              </w:rPr>
              <w:fldChar w:fldCharType="begin"/>
            </w:r>
            <w:r>
              <w:rPr>
                <w:noProof/>
                <w:webHidden/>
              </w:rPr>
              <w:instrText xml:space="preserve"> PAGEREF _Toc493625441 \h </w:instrText>
            </w:r>
            <w:r>
              <w:rPr>
                <w:noProof/>
                <w:webHidden/>
              </w:rPr>
            </w:r>
            <w:r>
              <w:rPr>
                <w:noProof/>
                <w:webHidden/>
              </w:rPr>
              <w:fldChar w:fldCharType="separate"/>
            </w:r>
            <w:r>
              <w:rPr>
                <w:noProof/>
                <w:webHidden/>
              </w:rPr>
              <w:t>51</w:t>
            </w:r>
            <w:r>
              <w:rPr>
                <w:noProof/>
                <w:webHidden/>
              </w:rPr>
              <w:fldChar w:fldCharType="end"/>
            </w:r>
          </w:hyperlink>
        </w:p>
        <w:p w:rsidR="00250DC4" w:rsidRDefault="00250DC4">
          <w:pPr>
            <w:pStyle w:val="Sommario2"/>
            <w:tabs>
              <w:tab w:val="right" w:leader="dot" w:pos="9628"/>
            </w:tabs>
            <w:rPr>
              <w:noProof/>
            </w:rPr>
          </w:pPr>
          <w:hyperlink w:anchor="_Toc493625442" w:history="1">
            <w:r w:rsidRPr="009D19D7">
              <w:rPr>
                <w:rStyle w:val="Collegamentoipertestuale"/>
                <w:noProof/>
              </w:rPr>
              <w:t>Il confronto costituzionale (Gennaio-Luglio 1906)</w:t>
            </w:r>
            <w:r>
              <w:rPr>
                <w:noProof/>
                <w:webHidden/>
              </w:rPr>
              <w:tab/>
            </w:r>
            <w:r>
              <w:rPr>
                <w:noProof/>
                <w:webHidden/>
              </w:rPr>
              <w:fldChar w:fldCharType="begin"/>
            </w:r>
            <w:r>
              <w:rPr>
                <w:noProof/>
                <w:webHidden/>
              </w:rPr>
              <w:instrText xml:space="preserve"> PAGEREF _Toc493625442 \h </w:instrText>
            </w:r>
            <w:r>
              <w:rPr>
                <w:noProof/>
                <w:webHidden/>
              </w:rPr>
            </w:r>
            <w:r>
              <w:rPr>
                <w:noProof/>
                <w:webHidden/>
              </w:rPr>
              <w:fldChar w:fldCharType="separate"/>
            </w:r>
            <w:r>
              <w:rPr>
                <w:noProof/>
                <w:webHidden/>
              </w:rPr>
              <w:t>54</w:t>
            </w:r>
            <w:r>
              <w:rPr>
                <w:noProof/>
                <w:webHidden/>
              </w:rPr>
              <w:fldChar w:fldCharType="end"/>
            </w:r>
          </w:hyperlink>
        </w:p>
        <w:p w:rsidR="00250DC4" w:rsidRDefault="00250DC4">
          <w:pPr>
            <w:pStyle w:val="Sommario2"/>
            <w:tabs>
              <w:tab w:val="right" w:leader="dot" w:pos="9628"/>
            </w:tabs>
            <w:rPr>
              <w:noProof/>
            </w:rPr>
          </w:pPr>
          <w:hyperlink w:anchor="_Toc493625443" w:history="1">
            <w:r w:rsidRPr="009D19D7">
              <w:rPr>
                <w:rStyle w:val="Collegamentoipertestuale"/>
                <w:noProof/>
              </w:rPr>
              <w:t>La fase controrivoluzionaria (Luglio 1906-Giugno 1907)</w:t>
            </w:r>
            <w:r>
              <w:rPr>
                <w:noProof/>
                <w:webHidden/>
              </w:rPr>
              <w:tab/>
            </w:r>
            <w:r>
              <w:rPr>
                <w:noProof/>
                <w:webHidden/>
              </w:rPr>
              <w:fldChar w:fldCharType="begin"/>
            </w:r>
            <w:r>
              <w:rPr>
                <w:noProof/>
                <w:webHidden/>
              </w:rPr>
              <w:instrText xml:space="preserve"> PAGEREF _Toc493625443 \h </w:instrText>
            </w:r>
            <w:r>
              <w:rPr>
                <w:noProof/>
                <w:webHidden/>
              </w:rPr>
            </w:r>
            <w:r>
              <w:rPr>
                <w:noProof/>
                <w:webHidden/>
              </w:rPr>
              <w:fldChar w:fldCharType="separate"/>
            </w:r>
            <w:r>
              <w:rPr>
                <w:noProof/>
                <w:webHidden/>
              </w:rPr>
              <w:t>58</w:t>
            </w:r>
            <w:r>
              <w:rPr>
                <w:noProof/>
                <w:webHidden/>
              </w:rPr>
              <w:fldChar w:fldCharType="end"/>
            </w:r>
          </w:hyperlink>
        </w:p>
        <w:p w:rsidR="00250DC4" w:rsidRDefault="00250DC4">
          <w:pPr>
            <w:pStyle w:val="Sommario1"/>
            <w:tabs>
              <w:tab w:val="right" w:leader="dot" w:pos="9628"/>
            </w:tabs>
            <w:rPr>
              <w:noProof/>
            </w:rPr>
          </w:pPr>
          <w:hyperlink w:anchor="_Toc493625444" w:history="1">
            <w:r w:rsidRPr="009D19D7">
              <w:rPr>
                <w:rStyle w:val="Collegamentoipertestuale"/>
                <w:noProof/>
              </w:rPr>
              <w:t>4° Capitolo: Gli ultimi anni dello zarismo</w:t>
            </w:r>
            <w:r>
              <w:rPr>
                <w:noProof/>
                <w:webHidden/>
              </w:rPr>
              <w:tab/>
            </w:r>
            <w:r>
              <w:rPr>
                <w:noProof/>
                <w:webHidden/>
              </w:rPr>
              <w:fldChar w:fldCharType="begin"/>
            </w:r>
            <w:r>
              <w:rPr>
                <w:noProof/>
                <w:webHidden/>
              </w:rPr>
              <w:instrText xml:space="preserve"> PAGEREF _Toc493625444 \h </w:instrText>
            </w:r>
            <w:r>
              <w:rPr>
                <w:noProof/>
                <w:webHidden/>
              </w:rPr>
            </w:r>
            <w:r>
              <w:rPr>
                <w:noProof/>
                <w:webHidden/>
              </w:rPr>
              <w:fldChar w:fldCharType="separate"/>
            </w:r>
            <w:r>
              <w:rPr>
                <w:noProof/>
                <w:webHidden/>
              </w:rPr>
              <w:t>60</w:t>
            </w:r>
            <w:r>
              <w:rPr>
                <w:noProof/>
                <w:webHidden/>
              </w:rPr>
              <w:fldChar w:fldCharType="end"/>
            </w:r>
          </w:hyperlink>
        </w:p>
        <w:p w:rsidR="00250DC4" w:rsidRDefault="00250DC4">
          <w:pPr>
            <w:pStyle w:val="Sommario2"/>
            <w:tabs>
              <w:tab w:val="right" w:leader="dot" w:pos="9628"/>
            </w:tabs>
            <w:rPr>
              <w:noProof/>
            </w:rPr>
          </w:pPr>
          <w:hyperlink w:anchor="_Toc493625445" w:history="1">
            <w:r w:rsidRPr="009D19D7">
              <w:rPr>
                <w:rStyle w:val="Collegamentoipertestuale"/>
                <w:noProof/>
              </w:rPr>
              <w:t>Gli insegnamenti della rivoluzione</w:t>
            </w:r>
            <w:r>
              <w:rPr>
                <w:noProof/>
                <w:webHidden/>
              </w:rPr>
              <w:tab/>
            </w:r>
            <w:r>
              <w:rPr>
                <w:noProof/>
                <w:webHidden/>
              </w:rPr>
              <w:fldChar w:fldCharType="begin"/>
            </w:r>
            <w:r>
              <w:rPr>
                <w:noProof/>
                <w:webHidden/>
              </w:rPr>
              <w:instrText xml:space="preserve"> PAGEREF _Toc493625445 \h </w:instrText>
            </w:r>
            <w:r>
              <w:rPr>
                <w:noProof/>
                <w:webHidden/>
              </w:rPr>
            </w:r>
            <w:r>
              <w:rPr>
                <w:noProof/>
                <w:webHidden/>
              </w:rPr>
              <w:fldChar w:fldCharType="separate"/>
            </w:r>
            <w:r>
              <w:rPr>
                <w:noProof/>
                <w:webHidden/>
              </w:rPr>
              <w:t>60</w:t>
            </w:r>
            <w:r>
              <w:rPr>
                <w:noProof/>
                <w:webHidden/>
              </w:rPr>
              <w:fldChar w:fldCharType="end"/>
            </w:r>
          </w:hyperlink>
        </w:p>
        <w:p w:rsidR="00250DC4" w:rsidRDefault="00250DC4">
          <w:pPr>
            <w:pStyle w:val="Sommario2"/>
            <w:tabs>
              <w:tab w:val="right" w:leader="dot" w:pos="9628"/>
            </w:tabs>
            <w:rPr>
              <w:noProof/>
            </w:rPr>
          </w:pPr>
          <w:hyperlink w:anchor="_Toc493625446" w:history="1">
            <w:r w:rsidRPr="009D19D7">
              <w:rPr>
                <w:rStyle w:val="Collegamentoipertestuale"/>
                <w:noProof/>
              </w:rPr>
              <w:t>Stolyypin e la 3° Duma</w:t>
            </w:r>
            <w:r>
              <w:rPr>
                <w:noProof/>
                <w:webHidden/>
              </w:rPr>
              <w:tab/>
            </w:r>
            <w:r>
              <w:rPr>
                <w:noProof/>
                <w:webHidden/>
              </w:rPr>
              <w:fldChar w:fldCharType="begin"/>
            </w:r>
            <w:r>
              <w:rPr>
                <w:noProof/>
                <w:webHidden/>
              </w:rPr>
              <w:instrText xml:space="preserve"> PAGEREF _Toc493625446 \h </w:instrText>
            </w:r>
            <w:r>
              <w:rPr>
                <w:noProof/>
                <w:webHidden/>
              </w:rPr>
            </w:r>
            <w:r>
              <w:rPr>
                <w:noProof/>
                <w:webHidden/>
              </w:rPr>
              <w:fldChar w:fldCharType="separate"/>
            </w:r>
            <w:r>
              <w:rPr>
                <w:noProof/>
                <w:webHidden/>
              </w:rPr>
              <w:t>62</w:t>
            </w:r>
            <w:r>
              <w:rPr>
                <w:noProof/>
                <w:webHidden/>
              </w:rPr>
              <w:fldChar w:fldCharType="end"/>
            </w:r>
          </w:hyperlink>
        </w:p>
        <w:p w:rsidR="00250DC4" w:rsidRDefault="00250DC4">
          <w:pPr>
            <w:pStyle w:val="Sommario2"/>
            <w:tabs>
              <w:tab w:val="right" w:leader="dot" w:pos="9628"/>
            </w:tabs>
            <w:rPr>
              <w:noProof/>
            </w:rPr>
          </w:pPr>
          <w:hyperlink w:anchor="_Toc493625447" w:history="1">
            <w:r w:rsidRPr="009D19D7">
              <w:rPr>
                <w:rStyle w:val="Collegamentoipertestuale"/>
                <w:noProof/>
              </w:rPr>
              <w:t>Riforma agraria, mobilità sociale, nazionalizzazione delle masse</w:t>
            </w:r>
            <w:r>
              <w:rPr>
                <w:noProof/>
                <w:webHidden/>
              </w:rPr>
              <w:tab/>
            </w:r>
            <w:r>
              <w:rPr>
                <w:noProof/>
                <w:webHidden/>
              </w:rPr>
              <w:fldChar w:fldCharType="begin"/>
            </w:r>
            <w:r>
              <w:rPr>
                <w:noProof/>
                <w:webHidden/>
              </w:rPr>
              <w:instrText xml:space="preserve"> PAGEREF _Toc493625447 \h </w:instrText>
            </w:r>
            <w:r>
              <w:rPr>
                <w:noProof/>
                <w:webHidden/>
              </w:rPr>
            </w:r>
            <w:r>
              <w:rPr>
                <w:noProof/>
                <w:webHidden/>
              </w:rPr>
              <w:fldChar w:fldCharType="separate"/>
            </w:r>
            <w:r>
              <w:rPr>
                <w:noProof/>
                <w:webHidden/>
              </w:rPr>
              <w:t>64</w:t>
            </w:r>
            <w:r>
              <w:rPr>
                <w:noProof/>
                <w:webHidden/>
              </w:rPr>
              <w:fldChar w:fldCharType="end"/>
            </w:r>
          </w:hyperlink>
        </w:p>
        <w:p w:rsidR="00250DC4" w:rsidRDefault="00250DC4">
          <w:pPr>
            <w:pStyle w:val="Sommario2"/>
            <w:tabs>
              <w:tab w:val="right" w:leader="dot" w:pos="9628"/>
            </w:tabs>
            <w:rPr>
              <w:noProof/>
            </w:rPr>
          </w:pPr>
          <w:hyperlink w:anchor="_Toc493625448" w:history="1">
            <w:r w:rsidRPr="009D19D7">
              <w:rPr>
                <w:rStyle w:val="Collegamentoipertestuale"/>
                <w:noProof/>
              </w:rPr>
              <w:t>Polarizzazione o stabilizzazione?</w:t>
            </w:r>
            <w:r>
              <w:rPr>
                <w:noProof/>
                <w:webHidden/>
              </w:rPr>
              <w:tab/>
            </w:r>
            <w:r>
              <w:rPr>
                <w:noProof/>
                <w:webHidden/>
              </w:rPr>
              <w:fldChar w:fldCharType="begin"/>
            </w:r>
            <w:r>
              <w:rPr>
                <w:noProof/>
                <w:webHidden/>
              </w:rPr>
              <w:instrText xml:space="preserve"> PAGEREF _Toc493625448 \h </w:instrText>
            </w:r>
            <w:r>
              <w:rPr>
                <w:noProof/>
                <w:webHidden/>
              </w:rPr>
            </w:r>
            <w:r>
              <w:rPr>
                <w:noProof/>
                <w:webHidden/>
              </w:rPr>
              <w:fldChar w:fldCharType="separate"/>
            </w:r>
            <w:r>
              <w:rPr>
                <w:noProof/>
                <w:webHidden/>
              </w:rPr>
              <w:t>66</w:t>
            </w:r>
            <w:r>
              <w:rPr>
                <w:noProof/>
                <w:webHidden/>
              </w:rPr>
              <w:fldChar w:fldCharType="end"/>
            </w:r>
          </w:hyperlink>
        </w:p>
        <w:p w:rsidR="00250DC4" w:rsidRDefault="00250DC4">
          <w:pPr>
            <w:pStyle w:val="Sommario2"/>
            <w:tabs>
              <w:tab w:val="right" w:leader="dot" w:pos="9628"/>
            </w:tabs>
            <w:rPr>
              <w:noProof/>
            </w:rPr>
          </w:pPr>
          <w:hyperlink w:anchor="_Toc493625449" w:history="1">
            <w:r w:rsidRPr="009D19D7">
              <w:rPr>
                <w:rStyle w:val="Collegamentoipertestuale"/>
                <w:noProof/>
              </w:rPr>
              <w:t>Formazione dell’Intesa e questione baltica: verso la guerra</w:t>
            </w:r>
            <w:r>
              <w:rPr>
                <w:noProof/>
                <w:webHidden/>
              </w:rPr>
              <w:tab/>
            </w:r>
            <w:r>
              <w:rPr>
                <w:noProof/>
                <w:webHidden/>
              </w:rPr>
              <w:fldChar w:fldCharType="begin"/>
            </w:r>
            <w:r>
              <w:rPr>
                <w:noProof/>
                <w:webHidden/>
              </w:rPr>
              <w:instrText xml:space="preserve"> PAGEREF _Toc493625449 \h </w:instrText>
            </w:r>
            <w:r>
              <w:rPr>
                <w:noProof/>
                <w:webHidden/>
              </w:rPr>
            </w:r>
            <w:r>
              <w:rPr>
                <w:noProof/>
                <w:webHidden/>
              </w:rPr>
              <w:fldChar w:fldCharType="separate"/>
            </w:r>
            <w:r>
              <w:rPr>
                <w:noProof/>
                <w:webHidden/>
              </w:rPr>
              <w:t>68</w:t>
            </w:r>
            <w:r>
              <w:rPr>
                <w:noProof/>
                <w:webHidden/>
              </w:rPr>
              <w:fldChar w:fldCharType="end"/>
            </w:r>
          </w:hyperlink>
        </w:p>
        <w:p w:rsidR="00250DC4" w:rsidRDefault="00250DC4">
          <w:pPr>
            <w:pStyle w:val="Sommario1"/>
            <w:tabs>
              <w:tab w:val="right" w:leader="dot" w:pos="9628"/>
            </w:tabs>
            <w:rPr>
              <w:noProof/>
            </w:rPr>
          </w:pPr>
          <w:hyperlink w:anchor="_Toc493625450" w:history="1">
            <w:r w:rsidRPr="009D19D7">
              <w:rPr>
                <w:rStyle w:val="Collegamentoipertestuale"/>
                <w:noProof/>
              </w:rPr>
              <w:t>5° Capitolo: La 1° Guerra Mondiale</w:t>
            </w:r>
            <w:r>
              <w:rPr>
                <w:noProof/>
                <w:webHidden/>
              </w:rPr>
              <w:tab/>
            </w:r>
            <w:r>
              <w:rPr>
                <w:noProof/>
                <w:webHidden/>
              </w:rPr>
              <w:fldChar w:fldCharType="begin"/>
            </w:r>
            <w:r>
              <w:rPr>
                <w:noProof/>
                <w:webHidden/>
              </w:rPr>
              <w:instrText xml:space="preserve"> PAGEREF _Toc493625450 \h </w:instrText>
            </w:r>
            <w:r>
              <w:rPr>
                <w:noProof/>
                <w:webHidden/>
              </w:rPr>
            </w:r>
            <w:r>
              <w:rPr>
                <w:noProof/>
                <w:webHidden/>
              </w:rPr>
              <w:fldChar w:fldCharType="separate"/>
            </w:r>
            <w:r>
              <w:rPr>
                <w:noProof/>
                <w:webHidden/>
              </w:rPr>
              <w:t>76</w:t>
            </w:r>
            <w:r>
              <w:rPr>
                <w:noProof/>
                <w:webHidden/>
              </w:rPr>
              <w:fldChar w:fldCharType="end"/>
            </w:r>
          </w:hyperlink>
        </w:p>
        <w:p w:rsidR="00250DC4" w:rsidRDefault="00250DC4">
          <w:pPr>
            <w:pStyle w:val="Sommario2"/>
            <w:tabs>
              <w:tab w:val="right" w:leader="dot" w:pos="9628"/>
            </w:tabs>
            <w:rPr>
              <w:noProof/>
            </w:rPr>
          </w:pPr>
          <w:hyperlink w:anchor="_Toc493625451" w:history="1">
            <w:r w:rsidRPr="009D19D7">
              <w:rPr>
                <w:rStyle w:val="Collegamentoipertestuale"/>
                <w:noProof/>
              </w:rPr>
              <w:t>La mobilitazione totale</w:t>
            </w:r>
            <w:r>
              <w:rPr>
                <w:noProof/>
                <w:webHidden/>
              </w:rPr>
              <w:tab/>
            </w:r>
            <w:r>
              <w:rPr>
                <w:noProof/>
                <w:webHidden/>
              </w:rPr>
              <w:fldChar w:fldCharType="begin"/>
            </w:r>
            <w:r>
              <w:rPr>
                <w:noProof/>
                <w:webHidden/>
              </w:rPr>
              <w:instrText xml:space="preserve"> PAGEREF _Toc493625451 \h </w:instrText>
            </w:r>
            <w:r>
              <w:rPr>
                <w:noProof/>
                <w:webHidden/>
              </w:rPr>
            </w:r>
            <w:r>
              <w:rPr>
                <w:noProof/>
                <w:webHidden/>
              </w:rPr>
              <w:fldChar w:fldCharType="separate"/>
            </w:r>
            <w:r>
              <w:rPr>
                <w:noProof/>
                <w:webHidden/>
              </w:rPr>
              <w:t>76</w:t>
            </w:r>
            <w:r>
              <w:rPr>
                <w:noProof/>
                <w:webHidden/>
              </w:rPr>
              <w:fldChar w:fldCharType="end"/>
            </w:r>
          </w:hyperlink>
        </w:p>
        <w:p w:rsidR="00250DC4" w:rsidRDefault="00250DC4">
          <w:pPr>
            <w:pStyle w:val="Sommario2"/>
            <w:tabs>
              <w:tab w:val="right" w:leader="dot" w:pos="9628"/>
            </w:tabs>
            <w:rPr>
              <w:noProof/>
            </w:rPr>
          </w:pPr>
          <w:hyperlink w:anchor="_Toc493625452" w:history="1">
            <w:r w:rsidRPr="009D19D7">
              <w:rPr>
                <w:rStyle w:val="Collegamentoipertestuale"/>
                <w:noProof/>
              </w:rPr>
              <w:t>Al fronte: le tappe salienti del conflitto fino all’autunno 1916</w:t>
            </w:r>
            <w:r>
              <w:rPr>
                <w:noProof/>
                <w:webHidden/>
              </w:rPr>
              <w:tab/>
            </w:r>
            <w:r>
              <w:rPr>
                <w:noProof/>
                <w:webHidden/>
              </w:rPr>
              <w:fldChar w:fldCharType="begin"/>
            </w:r>
            <w:r>
              <w:rPr>
                <w:noProof/>
                <w:webHidden/>
              </w:rPr>
              <w:instrText xml:space="preserve"> PAGEREF _Toc493625452 \h </w:instrText>
            </w:r>
            <w:r>
              <w:rPr>
                <w:noProof/>
                <w:webHidden/>
              </w:rPr>
            </w:r>
            <w:r>
              <w:rPr>
                <w:noProof/>
                <w:webHidden/>
              </w:rPr>
              <w:fldChar w:fldCharType="separate"/>
            </w:r>
            <w:r>
              <w:rPr>
                <w:noProof/>
                <w:webHidden/>
              </w:rPr>
              <w:t>77</w:t>
            </w:r>
            <w:r>
              <w:rPr>
                <w:noProof/>
                <w:webHidden/>
              </w:rPr>
              <w:fldChar w:fldCharType="end"/>
            </w:r>
          </w:hyperlink>
        </w:p>
        <w:p w:rsidR="00250DC4" w:rsidRDefault="00250DC4">
          <w:pPr>
            <w:pStyle w:val="Sommario2"/>
            <w:tabs>
              <w:tab w:val="right" w:leader="dot" w:pos="9628"/>
            </w:tabs>
            <w:rPr>
              <w:noProof/>
            </w:rPr>
          </w:pPr>
          <w:hyperlink w:anchor="_Toc493625453" w:history="1">
            <w:r w:rsidRPr="009D19D7">
              <w:rPr>
                <w:rStyle w:val="Collegamentoipertestuale"/>
                <w:noProof/>
              </w:rPr>
              <w:t>Nelle retrovie: economie, società, produzione bellica</w:t>
            </w:r>
            <w:r>
              <w:rPr>
                <w:noProof/>
                <w:webHidden/>
              </w:rPr>
              <w:tab/>
            </w:r>
            <w:r>
              <w:rPr>
                <w:noProof/>
                <w:webHidden/>
              </w:rPr>
              <w:fldChar w:fldCharType="begin"/>
            </w:r>
            <w:r>
              <w:rPr>
                <w:noProof/>
                <w:webHidden/>
              </w:rPr>
              <w:instrText xml:space="preserve"> PAGEREF _Toc493625453 \h </w:instrText>
            </w:r>
            <w:r>
              <w:rPr>
                <w:noProof/>
                <w:webHidden/>
              </w:rPr>
            </w:r>
            <w:r>
              <w:rPr>
                <w:noProof/>
                <w:webHidden/>
              </w:rPr>
              <w:fldChar w:fldCharType="separate"/>
            </w:r>
            <w:r>
              <w:rPr>
                <w:noProof/>
                <w:webHidden/>
              </w:rPr>
              <w:t>83</w:t>
            </w:r>
            <w:r>
              <w:rPr>
                <w:noProof/>
                <w:webHidden/>
              </w:rPr>
              <w:fldChar w:fldCharType="end"/>
            </w:r>
          </w:hyperlink>
        </w:p>
        <w:p w:rsidR="00250DC4" w:rsidRDefault="00250DC4">
          <w:pPr>
            <w:pStyle w:val="Sommario2"/>
            <w:tabs>
              <w:tab w:val="right" w:leader="dot" w:pos="9628"/>
            </w:tabs>
            <w:rPr>
              <w:noProof/>
            </w:rPr>
          </w:pPr>
          <w:hyperlink w:anchor="_Toc493625454" w:history="1">
            <w:r w:rsidRPr="009D19D7">
              <w:rPr>
                <w:rStyle w:val="Collegamentoipertestuale"/>
                <w:noProof/>
              </w:rPr>
              <w:t>Al vertice: La Duma, i partiti, la corte, il governo</w:t>
            </w:r>
            <w:r>
              <w:rPr>
                <w:noProof/>
                <w:webHidden/>
              </w:rPr>
              <w:tab/>
            </w:r>
            <w:r>
              <w:rPr>
                <w:noProof/>
                <w:webHidden/>
              </w:rPr>
              <w:fldChar w:fldCharType="begin"/>
            </w:r>
            <w:r>
              <w:rPr>
                <w:noProof/>
                <w:webHidden/>
              </w:rPr>
              <w:instrText xml:space="preserve"> PAGEREF _Toc493625454 \h </w:instrText>
            </w:r>
            <w:r>
              <w:rPr>
                <w:noProof/>
                <w:webHidden/>
              </w:rPr>
            </w:r>
            <w:r>
              <w:rPr>
                <w:noProof/>
                <w:webHidden/>
              </w:rPr>
              <w:fldChar w:fldCharType="separate"/>
            </w:r>
            <w:r>
              <w:rPr>
                <w:noProof/>
                <w:webHidden/>
              </w:rPr>
              <w:t>85</w:t>
            </w:r>
            <w:r>
              <w:rPr>
                <w:noProof/>
                <w:webHidden/>
              </w:rPr>
              <w:fldChar w:fldCharType="end"/>
            </w:r>
          </w:hyperlink>
        </w:p>
        <w:p w:rsidR="00250DC4" w:rsidRDefault="00250DC4">
          <w:pPr>
            <w:pStyle w:val="Sommario2"/>
            <w:tabs>
              <w:tab w:val="right" w:leader="dot" w:pos="9628"/>
            </w:tabs>
            <w:rPr>
              <w:noProof/>
            </w:rPr>
          </w:pPr>
          <w:hyperlink w:anchor="_Toc493625455" w:history="1">
            <w:r w:rsidRPr="009D19D7">
              <w:rPr>
                <w:rStyle w:val="Collegamentoipertestuale"/>
                <w:noProof/>
              </w:rPr>
              <w:t>Verso la rivoluzione</w:t>
            </w:r>
            <w:r>
              <w:rPr>
                <w:noProof/>
                <w:webHidden/>
              </w:rPr>
              <w:tab/>
            </w:r>
            <w:r>
              <w:rPr>
                <w:noProof/>
                <w:webHidden/>
              </w:rPr>
              <w:fldChar w:fldCharType="begin"/>
            </w:r>
            <w:r>
              <w:rPr>
                <w:noProof/>
                <w:webHidden/>
              </w:rPr>
              <w:instrText xml:space="preserve"> PAGEREF _Toc493625455 \h </w:instrText>
            </w:r>
            <w:r>
              <w:rPr>
                <w:noProof/>
                <w:webHidden/>
              </w:rPr>
            </w:r>
            <w:r>
              <w:rPr>
                <w:noProof/>
                <w:webHidden/>
              </w:rPr>
              <w:fldChar w:fldCharType="separate"/>
            </w:r>
            <w:r>
              <w:rPr>
                <w:noProof/>
                <w:webHidden/>
              </w:rPr>
              <w:t>86</w:t>
            </w:r>
            <w:r>
              <w:rPr>
                <w:noProof/>
                <w:webHidden/>
              </w:rPr>
              <w:fldChar w:fldCharType="end"/>
            </w:r>
          </w:hyperlink>
        </w:p>
        <w:p w:rsidR="00250DC4" w:rsidRDefault="00250DC4">
          <w:pPr>
            <w:pStyle w:val="Sommario1"/>
            <w:tabs>
              <w:tab w:val="right" w:leader="dot" w:pos="9628"/>
            </w:tabs>
            <w:rPr>
              <w:noProof/>
            </w:rPr>
          </w:pPr>
          <w:hyperlink w:anchor="_Toc493625456" w:history="1">
            <w:r w:rsidRPr="009D19D7">
              <w:rPr>
                <w:rStyle w:val="Collegamentoipertestuale"/>
                <w:noProof/>
              </w:rPr>
              <w:t>6° Capitolo: La Rivoluzione di Febbraio</w:t>
            </w:r>
            <w:r>
              <w:rPr>
                <w:noProof/>
                <w:webHidden/>
              </w:rPr>
              <w:tab/>
            </w:r>
            <w:r>
              <w:rPr>
                <w:noProof/>
                <w:webHidden/>
              </w:rPr>
              <w:fldChar w:fldCharType="begin"/>
            </w:r>
            <w:r>
              <w:rPr>
                <w:noProof/>
                <w:webHidden/>
              </w:rPr>
              <w:instrText xml:space="preserve"> PAGEREF _Toc493625456 \h </w:instrText>
            </w:r>
            <w:r>
              <w:rPr>
                <w:noProof/>
                <w:webHidden/>
              </w:rPr>
            </w:r>
            <w:r>
              <w:rPr>
                <w:noProof/>
                <w:webHidden/>
              </w:rPr>
              <w:fldChar w:fldCharType="separate"/>
            </w:r>
            <w:r>
              <w:rPr>
                <w:noProof/>
                <w:webHidden/>
              </w:rPr>
              <w:t>88</w:t>
            </w:r>
            <w:r>
              <w:rPr>
                <w:noProof/>
                <w:webHidden/>
              </w:rPr>
              <w:fldChar w:fldCharType="end"/>
            </w:r>
          </w:hyperlink>
        </w:p>
        <w:p w:rsidR="00250DC4" w:rsidRDefault="00250DC4">
          <w:pPr>
            <w:pStyle w:val="Sommario2"/>
            <w:tabs>
              <w:tab w:val="right" w:leader="dot" w:pos="9628"/>
            </w:tabs>
            <w:rPr>
              <w:noProof/>
            </w:rPr>
          </w:pPr>
          <w:hyperlink w:anchor="_Toc493625457" w:history="1">
            <w:r w:rsidRPr="009D19D7">
              <w:rPr>
                <w:rStyle w:val="Collegamentoipertestuale"/>
                <w:noProof/>
              </w:rPr>
              <w:t>Governo provvisorio e Soviet: il dualismo di potere</w:t>
            </w:r>
            <w:r>
              <w:rPr>
                <w:noProof/>
                <w:webHidden/>
              </w:rPr>
              <w:tab/>
            </w:r>
            <w:r>
              <w:rPr>
                <w:noProof/>
                <w:webHidden/>
              </w:rPr>
              <w:fldChar w:fldCharType="begin"/>
            </w:r>
            <w:r>
              <w:rPr>
                <w:noProof/>
                <w:webHidden/>
              </w:rPr>
              <w:instrText xml:space="preserve"> PAGEREF _Toc493625457 \h </w:instrText>
            </w:r>
            <w:r>
              <w:rPr>
                <w:noProof/>
                <w:webHidden/>
              </w:rPr>
            </w:r>
            <w:r>
              <w:rPr>
                <w:noProof/>
                <w:webHidden/>
              </w:rPr>
              <w:fldChar w:fldCharType="separate"/>
            </w:r>
            <w:r>
              <w:rPr>
                <w:noProof/>
                <w:webHidden/>
              </w:rPr>
              <w:t>90</w:t>
            </w:r>
            <w:r>
              <w:rPr>
                <w:noProof/>
                <w:webHidden/>
              </w:rPr>
              <w:fldChar w:fldCharType="end"/>
            </w:r>
          </w:hyperlink>
        </w:p>
        <w:p w:rsidR="00250DC4" w:rsidRDefault="00250DC4">
          <w:pPr>
            <w:pStyle w:val="Sommario2"/>
            <w:tabs>
              <w:tab w:val="right" w:leader="dot" w:pos="9628"/>
            </w:tabs>
            <w:rPr>
              <w:noProof/>
            </w:rPr>
          </w:pPr>
          <w:hyperlink w:anchor="_Toc493625458" w:history="1">
            <w:r w:rsidRPr="009D19D7">
              <w:rPr>
                <w:rStyle w:val="Collegamentoipertestuale"/>
                <w:noProof/>
              </w:rPr>
              <w:t>Ceti urbani e operai: la rivoluzione nelle città</w:t>
            </w:r>
            <w:r>
              <w:rPr>
                <w:noProof/>
                <w:webHidden/>
              </w:rPr>
              <w:tab/>
            </w:r>
            <w:r>
              <w:rPr>
                <w:noProof/>
                <w:webHidden/>
              </w:rPr>
              <w:fldChar w:fldCharType="begin"/>
            </w:r>
            <w:r>
              <w:rPr>
                <w:noProof/>
                <w:webHidden/>
              </w:rPr>
              <w:instrText xml:space="preserve"> PAGEREF _Toc493625458 \h </w:instrText>
            </w:r>
            <w:r>
              <w:rPr>
                <w:noProof/>
                <w:webHidden/>
              </w:rPr>
            </w:r>
            <w:r>
              <w:rPr>
                <w:noProof/>
                <w:webHidden/>
              </w:rPr>
              <w:fldChar w:fldCharType="separate"/>
            </w:r>
            <w:r>
              <w:rPr>
                <w:noProof/>
                <w:webHidden/>
              </w:rPr>
              <w:t>91</w:t>
            </w:r>
            <w:r>
              <w:rPr>
                <w:noProof/>
                <w:webHidden/>
              </w:rPr>
              <w:fldChar w:fldCharType="end"/>
            </w:r>
          </w:hyperlink>
        </w:p>
        <w:p w:rsidR="00250DC4" w:rsidRDefault="00250DC4">
          <w:pPr>
            <w:pStyle w:val="Sommario2"/>
            <w:tabs>
              <w:tab w:val="right" w:leader="dot" w:pos="9628"/>
            </w:tabs>
            <w:rPr>
              <w:noProof/>
            </w:rPr>
          </w:pPr>
          <w:hyperlink w:anchor="_Toc493625459" w:history="1">
            <w:r w:rsidRPr="009D19D7">
              <w:rPr>
                <w:rStyle w:val="Collegamentoipertestuale"/>
                <w:noProof/>
              </w:rPr>
              <w:t>La rivoluzione nelle campagne e nelle periferie dell’Impero</w:t>
            </w:r>
            <w:r>
              <w:rPr>
                <w:noProof/>
                <w:webHidden/>
              </w:rPr>
              <w:tab/>
            </w:r>
            <w:r>
              <w:rPr>
                <w:noProof/>
                <w:webHidden/>
              </w:rPr>
              <w:fldChar w:fldCharType="begin"/>
            </w:r>
            <w:r>
              <w:rPr>
                <w:noProof/>
                <w:webHidden/>
              </w:rPr>
              <w:instrText xml:space="preserve"> PAGEREF _Toc493625459 \h </w:instrText>
            </w:r>
            <w:r>
              <w:rPr>
                <w:noProof/>
                <w:webHidden/>
              </w:rPr>
            </w:r>
            <w:r>
              <w:rPr>
                <w:noProof/>
                <w:webHidden/>
              </w:rPr>
              <w:fldChar w:fldCharType="separate"/>
            </w:r>
            <w:r>
              <w:rPr>
                <w:noProof/>
                <w:webHidden/>
              </w:rPr>
              <w:t>92</w:t>
            </w:r>
            <w:r>
              <w:rPr>
                <w:noProof/>
                <w:webHidden/>
              </w:rPr>
              <w:fldChar w:fldCharType="end"/>
            </w:r>
          </w:hyperlink>
        </w:p>
        <w:p w:rsidR="00250DC4" w:rsidRDefault="00250DC4">
          <w:pPr>
            <w:pStyle w:val="Sommario2"/>
            <w:tabs>
              <w:tab w:val="right" w:leader="dot" w:pos="9628"/>
            </w:tabs>
            <w:rPr>
              <w:noProof/>
            </w:rPr>
          </w:pPr>
          <w:hyperlink w:anchor="_Toc493625460" w:history="1">
            <w:r w:rsidRPr="009D19D7">
              <w:rPr>
                <w:rStyle w:val="Collegamentoipertestuale"/>
                <w:noProof/>
              </w:rPr>
              <w:t>La rivoluzione dell’esercito e la questione della guerra e della pace</w:t>
            </w:r>
            <w:r>
              <w:rPr>
                <w:noProof/>
                <w:webHidden/>
              </w:rPr>
              <w:tab/>
            </w:r>
            <w:r>
              <w:rPr>
                <w:noProof/>
                <w:webHidden/>
              </w:rPr>
              <w:fldChar w:fldCharType="begin"/>
            </w:r>
            <w:r>
              <w:rPr>
                <w:noProof/>
                <w:webHidden/>
              </w:rPr>
              <w:instrText xml:space="preserve"> PAGEREF _Toc493625460 \h </w:instrText>
            </w:r>
            <w:r>
              <w:rPr>
                <w:noProof/>
                <w:webHidden/>
              </w:rPr>
            </w:r>
            <w:r>
              <w:rPr>
                <w:noProof/>
                <w:webHidden/>
              </w:rPr>
              <w:fldChar w:fldCharType="separate"/>
            </w:r>
            <w:r>
              <w:rPr>
                <w:noProof/>
                <w:webHidden/>
              </w:rPr>
              <w:t>93</w:t>
            </w:r>
            <w:r>
              <w:rPr>
                <w:noProof/>
                <w:webHidden/>
              </w:rPr>
              <w:fldChar w:fldCharType="end"/>
            </w:r>
          </w:hyperlink>
        </w:p>
        <w:p w:rsidR="00250DC4" w:rsidRDefault="00250DC4">
          <w:pPr>
            <w:pStyle w:val="Sommario1"/>
            <w:tabs>
              <w:tab w:val="right" w:leader="dot" w:pos="9628"/>
            </w:tabs>
            <w:rPr>
              <w:noProof/>
            </w:rPr>
          </w:pPr>
          <w:hyperlink w:anchor="_Toc493625461" w:history="1">
            <w:r w:rsidRPr="009D19D7">
              <w:rPr>
                <w:rStyle w:val="Collegamentoipertestuale"/>
                <w:noProof/>
              </w:rPr>
              <w:t>7° Capitolo: La Rivoluzione di Ottobre</w:t>
            </w:r>
            <w:r>
              <w:rPr>
                <w:noProof/>
                <w:webHidden/>
              </w:rPr>
              <w:tab/>
            </w:r>
            <w:r>
              <w:rPr>
                <w:noProof/>
                <w:webHidden/>
              </w:rPr>
              <w:fldChar w:fldCharType="begin"/>
            </w:r>
            <w:r>
              <w:rPr>
                <w:noProof/>
                <w:webHidden/>
              </w:rPr>
              <w:instrText xml:space="preserve"> PAGEREF _Toc493625461 \h </w:instrText>
            </w:r>
            <w:r>
              <w:rPr>
                <w:noProof/>
                <w:webHidden/>
              </w:rPr>
            </w:r>
            <w:r>
              <w:rPr>
                <w:noProof/>
                <w:webHidden/>
              </w:rPr>
              <w:fldChar w:fldCharType="separate"/>
            </w:r>
            <w:r>
              <w:rPr>
                <w:noProof/>
                <w:webHidden/>
              </w:rPr>
              <w:t>95</w:t>
            </w:r>
            <w:r>
              <w:rPr>
                <w:noProof/>
                <w:webHidden/>
              </w:rPr>
              <w:fldChar w:fldCharType="end"/>
            </w:r>
          </w:hyperlink>
        </w:p>
        <w:p w:rsidR="00250DC4" w:rsidRDefault="00250DC4">
          <w:pPr>
            <w:pStyle w:val="Sommario2"/>
            <w:tabs>
              <w:tab w:val="right" w:leader="dot" w:pos="9628"/>
            </w:tabs>
            <w:rPr>
              <w:noProof/>
            </w:rPr>
          </w:pPr>
          <w:hyperlink w:anchor="_Toc493625462" w:history="1">
            <w:r w:rsidRPr="009D19D7">
              <w:rPr>
                <w:rStyle w:val="Collegamentoipertestuale"/>
                <w:noProof/>
              </w:rPr>
              <w:t>Dal ritorno di Lenin all’offensiva estiva</w:t>
            </w:r>
            <w:r>
              <w:rPr>
                <w:noProof/>
                <w:webHidden/>
              </w:rPr>
              <w:tab/>
            </w:r>
            <w:r>
              <w:rPr>
                <w:noProof/>
                <w:webHidden/>
              </w:rPr>
              <w:fldChar w:fldCharType="begin"/>
            </w:r>
            <w:r>
              <w:rPr>
                <w:noProof/>
                <w:webHidden/>
              </w:rPr>
              <w:instrText xml:space="preserve"> PAGEREF _Toc493625462 \h </w:instrText>
            </w:r>
            <w:r>
              <w:rPr>
                <w:noProof/>
                <w:webHidden/>
              </w:rPr>
            </w:r>
            <w:r>
              <w:rPr>
                <w:noProof/>
                <w:webHidden/>
              </w:rPr>
              <w:fldChar w:fldCharType="separate"/>
            </w:r>
            <w:r>
              <w:rPr>
                <w:noProof/>
                <w:webHidden/>
              </w:rPr>
              <w:t>95</w:t>
            </w:r>
            <w:r>
              <w:rPr>
                <w:noProof/>
                <w:webHidden/>
              </w:rPr>
              <w:fldChar w:fldCharType="end"/>
            </w:r>
          </w:hyperlink>
        </w:p>
        <w:p w:rsidR="00250DC4" w:rsidRDefault="00250DC4">
          <w:pPr>
            <w:pStyle w:val="Sommario2"/>
            <w:tabs>
              <w:tab w:val="right" w:leader="dot" w:pos="9628"/>
            </w:tabs>
            <w:rPr>
              <w:noProof/>
            </w:rPr>
          </w:pPr>
          <w:hyperlink w:anchor="_Toc493625463" w:history="1">
            <w:r w:rsidRPr="009D19D7">
              <w:rPr>
                <w:rStyle w:val="Collegamentoipertestuale"/>
                <w:noProof/>
              </w:rPr>
              <w:t>La crisi di luglio e il fallimento dell’iniziativa di Kornilov</w:t>
            </w:r>
            <w:r>
              <w:rPr>
                <w:noProof/>
                <w:webHidden/>
              </w:rPr>
              <w:tab/>
            </w:r>
            <w:r>
              <w:rPr>
                <w:noProof/>
                <w:webHidden/>
              </w:rPr>
              <w:fldChar w:fldCharType="begin"/>
            </w:r>
            <w:r>
              <w:rPr>
                <w:noProof/>
                <w:webHidden/>
              </w:rPr>
              <w:instrText xml:space="preserve"> PAGEREF _Toc493625463 \h </w:instrText>
            </w:r>
            <w:r>
              <w:rPr>
                <w:noProof/>
                <w:webHidden/>
              </w:rPr>
            </w:r>
            <w:r>
              <w:rPr>
                <w:noProof/>
                <w:webHidden/>
              </w:rPr>
              <w:fldChar w:fldCharType="separate"/>
            </w:r>
            <w:r>
              <w:rPr>
                <w:noProof/>
                <w:webHidden/>
              </w:rPr>
              <w:t>98</w:t>
            </w:r>
            <w:r>
              <w:rPr>
                <w:noProof/>
                <w:webHidden/>
              </w:rPr>
              <w:fldChar w:fldCharType="end"/>
            </w:r>
          </w:hyperlink>
        </w:p>
        <w:p w:rsidR="00250DC4" w:rsidRDefault="00250DC4">
          <w:pPr>
            <w:pStyle w:val="Sommario2"/>
            <w:tabs>
              <w:tab w:val="right" w:leader="dot" w:pos="9628"/>
            </w:tabs>
            <w:rPr>
              <w:noProof/>
            </w:rPr>
          </w:pPr>
          <w:hyperlink w:anchor="_Toc493625464" w:history="1">
            <w:r w:rsidRPr="009D19D7">
              <w:rPr>
                <w:rStyle w:val="Collegamentoipertestuale"/>
                <w:noProof/>
              </w:rPr>
              <w:t>La rivoluzione di Ottobre</w:t>
            </w:r>
            <w:r>
              <w:rPr>
                <w:noProof/>
                <w:webHidden/>
              </w:rPr>
              <w:tab/>
            </w:r>
            <w:r>
              <w:rPr>
                <w:noProof/>
                <w:webHidden/>
              </w:rPr>
              <w:fldChar w:fldCharType="begin"/>
            </w:r>
            <w:r>
              <w:rPr>
                <w:noProof/>
                <w:webHidden/>
              </w:rPr>
              <w:instrText xml:space="preserve"> PAGEREF _Toc493625464 \h </w:instrText>
            </w:r>
            <w:r>
              <w:rPr>
                <w:noProof/>
                <w:webHidden/>
              </w:rPr>
            </w:r>
            <w:r>
              <w:rPr>
                <w:noProof/>
                <w:webHidden/>
              </w:rPr>
              <w:fldChar w:fldCharType="separate"/>
            </w:r>
            <w:r>
              <w:rPr>
                <w:noProof/>
                <w:webHidden/>
              </w:rPr>
              <w:t>102</w:t>
            </w:r>
            <w:r>
              <w:rPr>
                <w:noProof/>
                <w:webHidden/>
              </w:rPr>
              <w:fldChar w:fldCharType="end"/>
            </w:r>
          </w:hyperlink>
        </w:p>
        <w:p w:rsidR="00250DC4" w:rsidRDefault="00250DC4">
          <w:pPr>
            <w:pStyle w:val="Sommario2"/>
            <w:tabs>
              <w:tab w:val="right" w:leader="dot" w:pos="9628"/>
            </w:tabs>
            <w:rPr>
              <w:noProof/>
            </w:rPr>
          </w:pPr>
          <w:hyperlink w:anchor="_Toc493625465" w:history="1">
            <w:r w:rsidRPr="009D19D7">
              <w:rPr>
                <w:rStyle w:val="Collegamentoipertestuale"/>
                <w:noProof/>
              </w:rPr>
              <w:t>I bolscevichi al potere: dalle elezioni di novembre a Brest-Litovsk</w:t>
            </w:r>
            <w:r>
              <w:rPr>
                <w:noProof/>
                <w:webHidden/>
              </w:rPr>
              <w:tab/>
            </w:r>
            <w:r>
              <w:rPr>
                <w:noProof/>
                <w:webHidden/>
              </w:rPr>
              <w:fldChar w:fldCharType="begin"/>
            </w:r>
            <w:r>
              <w:rPr>
                <w:noProof/>
                <w:webHidden/>
              </w:rPr>
              <w:instrText xml:space="preserve"> PAGEREF _Toc493625465 \h </w:instrText>
            </w:r>
            <w:r>
              <w:rPr>
                <w:noProof/>
                <w:webHidden/>
              </w:rPr>
            </w:r>
            <w:r>
              <w:rPr>
                <w:noProof/>
                <w:webHidden/>
              </w:rPr>
              <w:fldChar w:fldCharType="separate"/>
            </w:r>
            <w:r>
              <w:rPr>
                <w:noProof/>
                <w:webHidden/>
              </w:rPr>
              <w:t>105</w:t>
            </w:r>
            <w:r>
              <w:rPr>
                <w:noProof/>
                <w:webHidden/>
              </w:rPr>
              <w:fldChar w:fldCharType="end"/>
            </w:r>
          </w:hyperlink>
        </w:p>
        <w:p w:rsidR="00250DC4" w:rsidRDefault="00250DC4">
          <w:pPr>
            <w:pStyle w:val="Sommario1"/>
            <w:tabs>
              <w:tab w:val="right" w:leader="dot" w:pos="9628"/>
            </w:tabs>
            <w:rPr>
              <w:noProof/>
            </w:rPr>
          </w:pPr>
          <w:hyperlink w:anchor="_Toc493625466" w:history="1">
            <w:r w:rsidRPr="009D19D7">
              <w:rPr>
                <w:rStyle w:val="Collegamentoipertestuale"/>
                <w:noProof/>
              </w:rPr>
              <w:t>8° Capitolo: Le guerre civili (1918-20)</w:t>
            </w:r>
            <w:r>
              <w:rPr>
                <w:noProof/>
                <w:webHidden/>
              </w:rPr>
              <w:tab/>
            </w:r>
            <w:r>
              <w:rPr>
                <w:noProof/>
                <w:webHidden/>
              </w:rPr>
              <w:fldChar w:fldCharType="begin"/>
            </w:r>
            <w:r>
              <w:rPr>
                <w:noProof/>
                <w:webHidden/>
              </w:rPr>
              <w:instrText xml:space="preserve"> PAGEREF _Toc493625466 \h </w:instrText>
            </w:r>
            <w:r>
              <w:rPr>
                <w:noProof/>
                <w:webHidden/>
              </w:rPr>
            </w:r>
            <w:r>
              <w:rPr>
                <w:noProof/>
                <w:webHidden/>
              </w:rPr>
              <w:fldChar w:fldCharType="separate"/>
            </w:r>
            <w:r>
              <w:rPr>
                <w:noProof/>
                <w:webHidden/>
              </w:rPr>
              <w:t>110</w:t>
            </w:r>
            <w:r>
              <w:rPr>
                <w:noProof/>
                <w:webHidden/>
              </w:rPr>
              <w:fldChar w:fldCharType="end"/>
            </w:r>
          </w:hyperlink>
        </w:p>
        <w:p w:rsidR="00250DC4" w:rsidRDefault="00250DC4">
          <w:pPr>
            <w:pStyle w:val="Sommario2"/>
            <w:tabs>
              <w:tab w:val="right" w:leader="dot" w:pos="9628"/>
            </w:tabs>
            <w:rPr>
              <w:noProof/>
            </w:rPr>
          </w:pPr>
          <w:hyperlink w:anchor="_Toc493625467" w:history="1">
            <w:r w:rsidRPr="009D19D7">
              <w:rPr>
                <w:rStyle w:val="Collegamentoipertestuale"/>
                <w:noProof/>
              </w:rPr>
              <w:t>Guerra civile e terrore</w:t>
            </w:r>
            <w:r>
              <w:rPr>
                <w:noProof/>
                <w:webHidden/>
              </w:rPr>
              <w:tab/>
            </w:r>
            <w:r>
              <w:rPr>
                <w:noProof/>
                <w:webHidden/>
              </w:rPr>
              <w:fldChar w:fldCharType="begin"/>
            </w:r>
            <w:r>
              <w:rPr>
                <w:noProof/>
                <w:webHidden/>
              </w:rPr>
              <w:instrText xml:space="preserve"> PAGEREF _Toc493625467 \h </w:instrText>
            </w:r>
            <w:r>
              <w:rPr>
                <w:noProof/>
                <w:webHidden/>
              </w:rPr>
            </w:r>
            <w:r>
              <w:rPr>
                <w:noProof/>
                <w:webHidden/>
              </w:rPr>
              <w:fldChar w:fldCharType="separate"/>
            </w:r>
            <w:r>
              <w:rPr>
                <w:noProof/>
                <w:webHidden/>
              </w:rPr>
              <w:t>110</w:t>
            </w:r>
            <w:r>
              <w:rPr>
                <w:noProof/>
                <w:webHidden/>
              </w:rPr>
              <w:fldChar w:fldCharType="end"/>
            </w:r>
          </w:hyperlink>
        </w:p>
        <w:p w:rsidR="00250DC4" w:rsidRDefault="00250DC4">
          <w:pPr>
            <w:pStyle w:val="Sommario2"/>
            <w:tabs>
              <w:tab w:val="right" w:leader="dot" w:pos="9628"/>
            </w:tabs>
            <w:rPr>
              <w:noProof/>
            </w:rPr>
          </w:pPr>
          <w:hyperlink w:anchor="_Toc493625468" w:history="1">
            <w:r w:rsidRPr="009D19D7">
              <w:rPr>
                <w:rStyle w:val="Collegamentoipertestuale"/>
                <w:noProof/>
              </w:rPr>
              <w:t>Le prime fasi del conflitto e l’intervento degli alleati</w:t>
            </w:r>
            <w:r>
              <w:rPr>
                <w:noProof/>
                <w:webHidden/>
              </w:rPr>
              <w:tab/>
            </w:r>
            <w:r>
              <w:rPr>
                <w:noProof/>
                <w:webHidden/>
              </w:rPr>
              <w:fldChar w:fldCharType="begin"/>
            </w:r>
            <w:r>
              <w:rPr>
                <w:noProof/>
                <w:webHidden/>
              </w:rPr>
              <w:instrText xml:space="preserve"> PAGEREF _Toc493625468 \h </w:instrText>
            </w:r>
            <w:r>
              <w:rPr>
                <w:noProof/>
                <w:webHidden/>
              </w:rPr>
            </w:r>
            <w:r>
              <w:rPr>
                <w:noProof/>
                <w:webHidden/>
              </w:rPr>
              <w:fldChar w:fldCharType="separate"/>
            </w:r>
            <w:r>
              <w:rPr>
                <w:noProof/>
                <w:webHidden/>
              </w:rPr>
              <w:t>112</w:t>
            </w:r>
            <w:r>
              <w:rPr>
                <w:noProof/>
                <w:webHidden/>
              </w:rPr>
              <w:fldChar w:fldCharType="end"/>
            </w:r>
          </w:hyperlink>
        </w:p>
        <w:p w:rsidR="00250DC4" w:rsidRDefault="00250DC4">
          <w:pPr>
            <w:pStyle w:val="Sommario2"/>
            <w:tabs>
              <w:tab w:val="right" w:leader="dot" w:pos="9628"/>
            </w:tabs>
            <w:rPr>
              <w:noProof/>
            </w:rPr>
          </w:pPr>
          <w:hyperlink w:anchor="_Toc493625469" w:history="1">
            <w:r w:rsidRPr="009D19D7">
              <w:rPr>
                <w:rStyle w:val="Collegamentoipertestuale"/>
                <w:noProof/>
              </w:rPr>
              <w:t>L’Armata rossa e il comunismo di guerra</w:t>
            </w:r>
            <w:r>
              <w:rPr>
                <w:noProof/>
                <w:webHidden/>
              </w:rPr>
              <w:tab/>
            </w:r>
            <w:r>
              <w:rPr>
                <w:noProof/>
                <w:webHidden/>
              </w:rPr>
              <w:fldChar w:fldCharType="begin"/>
            </w:r>
            <w:r>
              <w:rPr>
                <w:noProof/>
                <w:webHidden/>
              </w:rPr>
              <w:instrText xml:space="preserve"> PAGEREF _Toc493625469 \h </w:instrText>
            </w:r>
            <w:r>
              <w:rPr>
                <w:noProof/>
                <w:webHidden/>
              </w:rPr>
            </w:r>
            <w:r>
              <w:rPr>
                <w:noProof/>
                <w:webHidden/>
              </w:rPr>
              <w:fldChar w:fldCharType="separate"/>
            </w:r>
            <w:r>
              <w:rPr>
                <w:noProof/>
                <w:webHidden/>
              </w:rPr>
              <w:t>116</w:t>
            </w:r>
            <w:r>
              <w:rPr>
                <w:noProof/>
                <w:webHidden/>
              </w:rPr>
              <w:fldChar w:fldCharType="end"/>
            </w:r>
          </w:hyperlink>
        </w:p>
        <w:p w:rsidR="00250DC4" w:rsidRDefault="00250DC4">
          <w:pPr>
            <w:pStyle w:val="Sommario2"/>
            <w:tabs>
              <w:tab w:val="right" w:leader="dot" w:pos="9628"/>
            </w:tabs>
            <w:rPr>
              <w:noProof/>
            </w:rPr>
          </w:pPr>
          <w:hyperlink w:anchor="_Toc493625470" w:history="1">
            <w:r w:rsidRPr="009D19D7">
              <w:rPr>
                <w:rStyle w:val="Collegamentoipertestuale"/>
                <w:noProof/>
              </w:rPr>
              <w:t>Il 1919 e la sconfitta dei bianchi</w:t>
            </w:r>
            <w:r>
              <w:rPr>
                <w:noProof/>
                <w:webHidden/>
              </w:rPr>
              <w:tab/>
            </w:r>
            <w:r>
              <w:rPr>
                <w:noProof/>
                <w:webHidden/>
              </w:rPr>
              <w:fldChar w:fldCharType="begin"/>
            </w:r>
            <w:r>
              <w:rPr>
                <w:noProof/>
                <w:webHidden/>
              </w:rPr>
              <w:instrText xml:space="preserve"> PAGEREF _Toc493625470 \h </w:instrText>
            </w:r>
            <w:r>
              <w:rPr>
                <w:noProof/>
                <w:webHidden/>
              </w:rPr>
            </w:r>
            <w:r>
              <w:rPr>
                <w:noProof/>
                <w:webHidden/>
              </w:rPr>
              <w:fldChar w:fldCharType="separate"/>
            </w:r>
            <w:r>
              <w:rPr>
                <w:noProof/>
                <w:webHidden/>
              </w:rPr>
              <w:t>119</w:t>
            </w:r>
            <w:r>
              <w:rPr>
                <w:noProof/>
                <w:webHidden/>
              </w:rPr>
              <w:fldChar w:fldCharType="end"/>
            </w:r>
          </w:hyperlink>
        </w:p>
        <w:p w:rsidR="00250DC4" w:rsidRDefault="00250DC4">
          <w:pPr>
            <w:pStyle w:val="Sommario2"/>
            <w:tabs>
              <w:tab w:val="right" w:leader="dot" w:pos="9628"/>
            </w:tabs>
            <w:rPr>
              <w:noProof/>
            </w:rPr>
          </w:pPr>
          <w:hyperlink w:anchor="_Toc493625471" w:history="1">
            <w:r w:rsidRPr="009D19D7">
              <w:rPr>
                <w:rStyle w:val="Collegamentoipertestuale"/>
                <w:noProof/>
              </w:rPr>
              <w:t>Guerre civili e movimenti nazionali</w:t>
            </w:r>
            <w:r>
              <w:rPr>
                <w:noProof/>
                <w:webHidden/>
              </w:rPr>
              <w:tab/>
            </w:r>
            <w:r>
              <w:rPr>
                <w:noProof/>
                <w:webHidden/>
              </w:rPr>
              <w:fldChar w:fldCharType="begin"/>
            </w:r>
            <w:r>
              <w:rPr>
                <w:noProof/>
                <w:webHidden/>
              </w:rPr>
              <w:instrText xml:space="preserve"> PAGEREF _Toc493625471 \h </w:instrText>
            </w:r>
            <w:r>
              <w:rPr>
                <w:noProof/>
                <w:webHidden/>
              </w:rPr>
            </w:r>
            <w:r>
              <w:rPr>
                <w:noProof/>
                <w:webHidden/>
              </w:rPr>
              <w:fldChar w:fldCharType="separate"/>
            </w:r>
            <w:r>
              <w:rPr>
                <w:noProof/>
                <w:webHidden/>
              </w:rPr>
              <w:t>120</w:t>
            </w:r>
            <w:r>
              <w:rPr>
                <w:noProof/>
                <w:webHidden/>
              </w:rPr>
              <w:fldChar w:fldCharType="end"/>
            </w:r>
          </w:hyperlink>
        </w:p>
        <w:p w:rsidR="00F65281" w:rsidRDefault="002624C2" w:rsidP="000B2651">
          <w:pPr>
            <w:jc w:val="both"/>
          </w:pPr>
          <w:r>
            <w:fldChar w:fldCharType="end"/>
          </w:r>
        </w:p>
      </w:sdtContent>
    </w:sdt>
    <w:p w:rsidR="00F65281" w:rsidRDefault="00F65281" w:rsidP="000B2651">
      <w:pPr>
        <w:jc w:val="both"/>
      </w:pPr>
    </w:p>
    <w:p w:rsidR="00F65281" w:rsidRDefault="00F65281" w:rsidP="000B2651">
      <w:pPr>
        <w:jc w:val="both"/>
      </w:pPr>
      <w:r>
        <w:br w:type="page"/>
      </w:r>
    </w:p>
    <w:p w:rsidR="004B040E" w:rsidRDefault="00A863D1" w:rsidP="000B2651">
      <w:pPr>
        <w:pStyle w:val="Titolo1"/>
        <w:jc w:val="both"/>
      </w:pPr>
      <w:bookmarkStart w:id="0" w:name="_Toc493625425"/>
      <w:r>
        <w:lastRenderedPageBreak/>
        <w:t>Introduzione</w:t>
      </w:r>
      <w:bookmarkEnd w:id="0"/>
    </w:p>
    <w:p w:rsidR="00EE6841" w:rsidRDefault="00EE6841" w:rsidP="000B2651">
      <w:pPr>
        <w:jc w:val="both"/>
        <w:rPr>
          <w:sz w:val="28"/>
        </w:rPr>
      </w:pPr>
      <w:r>
        <w:rPr>
          <w:sz w:val="28"/>
        </w:rPr>
        <w:t xml:space="preserve">La Russia è al centro delle vicende della storia contemporanea. È posta fra Oriente e Occidente. Fu un Impero transcontinentale eurasiatico. Con la rivoluzione bolscevica rappresentò una realtà alternativa al mondo capitalistico. Dopo la 2° guerra mondiale fu la “superpotenza” antagonista agli Stati Uniti d’America. Fu protagonista della disintegrazione dell’URSS. Oggi </w:t>
      </w:r>
      <w:r w:rsidR="00C8609E">
        <w:rPr>
          <w:sz w:val="28"/>
        </w:rPr>
        <w:t xml:space="preserve">è uno dei paesi </w:t>
      </w:r>
      <w:r>
        <w:rPr>
          <w:sz w:val="28"/>
        </w:rPr>
        <w:t>dello sviluppo globale in ambito economico.</w:t>
      </w:r>
    </w:p>
    <w:p w:rsidR="00EE6841" w:rsidRPr="00551097" w:rsidRDefault="00EE6841" w:rsidP="000B2651">
      <w:pPr>
        <w:jc w:val="both"/>
        <w:rPr>
          <w:sz w:val="28"/>
        </w:rPr>
      </w:pPr>
      <w:r>
        <w:rPr>
          <w:noProof/>
        </w:rPr>
        <w:drawing>
          <wp:inline distT="0" distB="0" distL="0" distR="0">
            <wp:extent cx="2942515" cy="2942515"/>
            <wp:effectExtent l="19050" t="0" r="0" b="0"/>
            <wp:docPr id="9" name="Immagine 7" descr="Russia - Localizzazi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ussia - Localizzazione"/>
                    <pic:cNvPicPr>
                      <a:picLocks noChangeAspect="1" noChangeArrowheads="1"/>
                    </pic:cNvPicPr>
                  </pic:nvPicPr>
                  <pic:blipFill>
                    <a:blip r:embed="rId12"/>
                    <a:srcRect/>
                    <a:stretch>
                      <a:fillRect/>
                    </a:stretch>
                  </pic:blipFill>
                  <pic:spPr bwMode="auto">
                    <a:xfrm>
                      <a:off x="0" y="0"/>
                      <a:ext cx="2948023" cy="2948023"/>
                    </a:xfrm>
                    <a:prstGeom prst="rect">
                      <a:avLst/>
                    </a:prstGeom>
                    <a:noFill/>
                    <a:ln w="9525">
                      <a:noFill/>
                      <a:miter lim="800000"/>
                      <a:headEnd/>
                      <a:tailEnd/>
                    </a:ln>
                  </pic:spPr>
                </pic:pic>
              </a:graphicData>
            </a:graphic>
          </wp:inline>
        </w:drawing>
      </w:r>
      <w:r>
        <w:rPr>
          <w:noProof/>
        </w:rPr>
        <w:drawing>
          <wp:inline distT="0" distB="0" distL="0" distR="0">
            <wp:extent cx="2298191" cy="2724184"/>
            <wp:effectExtent l="19050" t="0" r="6859" b="0"/>
            <wp:docPr id="10" name="Immagine 10" descr="Coat of Arms of the Russian Federation.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oat of Arms of the Russian Federation.svg"/>
                    <pic:cNvPicPr>
                      <a:picLocks noChangeAspect="1" noChangeArrowheads="1"/>
                    </pic:cNvPicPr>
                  </pic:nvPicPr>
                  <pic:blipFill>
                    <a:blip r:embed="rId13"/>
                    <a:srcRect/>
                    <a:stretch>
                      <a:fillRect/>
                    </a:stretch>
                  </pic:blipFill>
                  <pic:spPr bwMode="auto">
                    <a:xfrm>
                      <a:off x="0" y="0"/>
                      <a:ext cx="2310258" cy="2738488"/>
                    </a:xfrm>
                    <a:prstGeom prst="rect">
                      <a:avLst/>
                    </a:prstGeom>
                    <a:noFill/>
                    <a:ln w="9525">
                      <a:noFill/>
                      <a:miter lim="800000"/>
                      <a:headEnd/>
                      <a:tailEnd/>
                    </a:ln>
                  </pic:spPr>
                </pic:pic>
              </a:graphicData>
            </a:graphic>
          </wp:inline>
        </w:drawing>
      </w:r>
    </w:p>
    <w:p w:rsidR="00A863D1" w:rsidRPr="00B1620B" w:rsidRDefault="00EE6841" w:rsidP="000B2651">
      <w:pPr>
        <w:jc w:val="both"/>
        <w:rPr>
          <w:sz w:val="28"/>
        </w:rPr>
      </w:pPr>
      <w:r>
        <w:rPr>
          <w:sz w:val="28"/>
        </w:rPr>
        <w:t>La dimensione del paese, l’espansione coloniale e le rivoluzioni</w:t>
      </w:r>
      <w:r w:rsidR="005C0474">
        <w:rPr>
          <w:sz w:val="28"/>
        </w:rPr>
        <w:t xml:space="preserve"> </w:t>
      </w:r>
      <w:r w:rsidR="00C8609E">
        <w:rPr>
          <w:sz w:val="28"/>
        </w:rPr>
        <w:t xml:space="preserve">della Russia </w:t>
      </w:r>
      <w:r w:rsidR="005C0474">
        <w:rPr>
          <w:sz w:val="28"/>
        </w:rPr>
        <w:t>ebbero una forte risonanza in tutto il mondo. Studiare la Russia è indispensabile per comprendere l’età contemp</w:t>
      </w:r>
      <w:r w:rsidR="00B1620B">
        <w:rPr>
          <w:sz w:val="28"/>
        </w:rPr>
        <w:t xml:space="preserve">oranea. La Russia ha conosciuto </w:t>
      </w:r>
      <w:r w:rsidR="005C0474" w:rsidRPr="00B1620B">
        <w:rPr>
          <w:sz w:val="28"/>
        </w:rPr>
        <w:t>una pluralità di regimi</w:t>
      </w:r>
      <w:r w:rsidR="00B1620B">
        <w:rPr>
          <w:sz w:val="28"/>
        </w:rPr>
        <w:t>:</w:t>
      </w:r>
    </w:p>
    <w:p w:rsidR="00B1620B" w:rsidRDefault="00B1620B" w:rsidP="000B2651">
      <w:pPr>
        <w:pStyle w:val="Paragrafoelenco"/>
        <w:numPr>
          <w:ilvl w:val="0"/>
          <w:numId w:val="1"/>
        </w:numPr>
        <w:jc w:val="both"/>
        <w:rPr>
          <w:sz w:val="28"/>
        </w:rPr>
      </w:pPr>
      <w:r>
        <w:rPr>
          <w:sz w:val="28"/>
        </w:rPr>
        <w:t>la servitù della gleba e il capitalismo</w:t>
      </w:r>
    </w:p>
    <w:p w:rsidR="00B1620B" w:rsidRDefault="00B1620B" w:rsidP="000B2651">
      <w:pPr>
        <w:pStyle w:val="Paragrafoelenco"/>
        <w:numPr>
          <w:ilvl w:val="0"/>
          <w:numId w:val="1"/>
        </w:numPr>
        <w:jc w:val="both"/>
        <w:rPr>
          <w:sz w:val="28"/>
        </w:rPr>
      </w:pPr>
      <w:r>
        <w:rPr>
          <w:sz w:val="28"/>
        </w:rPr>
        <w:t>L’assolutismo autocratico</w:t>
      </w:r>
    </w:p>
    <w:p w:rsidR="00B1620B" w:rsidRDefault="00B1620B" w:rsidP="000B2651">
      <w:pPr>
        <w:pStyle w:val="Paragrafoelenco"/>
        <w:numPr>
          <w:ilvl w:val="0"/>
          <w:numId w:val="1"/>
        </w:numPr>
        <w:jc w:val="both"/>
        <w:rPr>
          <w:sz w:val="28"/>
        </w:rPr>
      </w:pPr>
      <w:r>
        <w:rPr>
          <w:sz w:val="28"/>
        </w:rPr>
        <w:t>Il Totalitarismo</w:t>
      </w:r>
    </w:p>
    <w:p w:rsidR="00B1620B" w:rsidRDefault="00B1620B" w:rsidP="000B2651">
      <w:pPr>
        <w:pStyle w:val="Paragrafoelenco"/>
        <w:numPr>
          <w:ilvl w:val="0"/>
          <w:numId w:val="1"/>
        </w:numPr>
        <w:jc w:val="both"/>
        <w:rPr>
          <w:sz w:val="28"/>
        </w:rPr>
      </w:pPr>
      <w:r>
        <w:rPr>
          <w:sz w:val="28"/>
        </w:rPr>
        <w:t>La democrazia post-sovietica</w:t>
      </w:r>
    </w:p>
    <w:p w:rsidR="00B1620B" w:rsidRDefault="00B1620B" w:rsidP="000B2651">
      <w:pPr>
        <w:jc w:val="both"/>
        <w:rPr>
          <w:sz w:val="28"/>
        </w:rPr>
      </w:pPr>
      <w:r>
        <w:rPr>
          <w:sz w:val="28"/>
        </w:rPr>
        <w:t>La Russia presenta dall’Ottocento, passando per il Novecento, e arrivando ai nostri giorni elementi di arcaismo e di modernità. Inoltre ha conosciuto guerre, rivoluzioni, guerre civili, migrazioni, terremoti demografici, industrializzazione, urbanizzazione, collettivizzazione.</w:t>
      </w:r>
    </w:p>
    <w:p w:rsidR="00B1620B" w:rsidRDefault="00B1620B" w:rsidP="000B2651">
      <w:pPr>
        <w:jc w:val="both"/>
        <w:rPr>
          <w:sz w:val="28"/>
        </w:rPr>
      </w:pPr>
      <w:r>
        <w:rPr>
          <w:sz w:val="28"/>
        </w:rPr>
        <w:t xml:space="preserve">Gli anni 70’ del Novecento sono anni di stabilità ma le riforme di gorbaceviane, la fine del comunismo, la dissoluzione dell’URSS hanno definito un nuovo assetto. </w:t>
      </w:r>
      <w:r>
        <w:rPr>
          <w:sz w:val="28"/>
        </w:rPr>
        <w:lastRenderedPageBreak/>
        <w:t>Tutto ciò ha dato vita a distorsioni interpretative. Oggi la stagione storiografica vive una fase di “liberalizzazione” grazie all’accesso agli archivi. Gli specialisti della Russia Zarista e gli studiosi dell’URSS interagiscono. Si ripresentano fenomeni di autoritarismo in un sistema pluralista e democratico, questo dà vita a molti studi.</w:t>
      </w:r>
    </w:p>
    <w:p w:rsidR="00B1620B" w:rsidRDefault="00B1620B" w:rsidP="000B2651">
      <w:pPr>
        <w:jc w:val="both"/>
        <w:rPr>
          <w:sz w:val="28"/>
        </w:rPr>
      </w:pPr>
      <w:r>
        <w:rPr>
          <w:sz w:val="28"/>
        </w:rPr>
        <w:t>Il libro si basa sulla dialettica:</w:t>
      </w:r>
    </w:p>
    <w:p w:rsidR="00B1620B" w:rsidRDefault="00B1620B" w:rsidP="000B2651">
      <w:pPr>
        <w:pStyle w:val="Paragrafoelenco"/>
        <w:numPr>
          <w:ilvl w:val="0"/>
          <w:numId w:val="2"/>
        </w:numPr>
        <w:jc w:val="both"/>
        <w:rPr>
          <w:sz w:val="28"/>
        </w:rPr>
      </w:pPr>
      <w:r>
        <w:rPr>
          <w:sz w:val="28"/>
        </w:rPr>
        <w:t>Stato/società</w:t>
      </w:r>
    </w:p>
    <w:p w:rsidR="00B1620B" w:rsidRDefault="00B1620B" w:rsidP="000B2651">
      <w:pPr>
        <w:pStyle w:val="Paragrafoelenco"/>
        <w:numPr>
          <w:ilvl w:val="0"/>
          <w:numId w:val="2"/>
        </w:numPr>
        <w:jc w:val="both"/>
        <w:rPr>
          <w:sz w:val="28"/>
        </w:rPr>
      </w:pPr>
      <w:r>
        <w:rPr>
          <w:sz w:val="28"/>
        </w:rPr>
        <w:t>Impero/nazionalità</w:t>
      </w:r>
    </w:p>
    <w:p w:rsidR="00B1620B" w:rsidRDefault="00B1620B" w:rsidP="000B2651">
      <w:pPr>
        <w:pStyle w:val="Paragrafoelenco"/>
        <w:numPr>
          <w:ilvl w:val="0"/>
          <w:numId w:val="2"/>
        </w:numPr>
        <w:jc w:val="both"/>
        <w:rPr>
          <w:sz w:val="28"/>
        </w:rPr>
      </w:pPr>
      <w:r>
        <w:rPr>
          <w:sz w:val="28"/>
        </w:rPr>
        <w:t>Riforma/rivoluzione</w:t>
      </w:r>
    </w:p>
    <w:p w:rsidR="00B1620B" w:rsidRDefault="00B1620B" w:rsidP="000B2651">
      <w:pPr>
        <w:pStyle w:val="Paragrafoelenco"/>
        <w:numPr>
          <w:ilvl w:val="0"/>
          <w:numId w:val="2"/>
        </w:numPr>
        <w:jc w:val="both"/>
        <w:rPr>
          <w:i/>
          <w:sz w:val="28"/>
        </w:rPr>
      </w:pPr>
      <w:r w:rsidRPr="00B1620B">
        <w:rPr>
          <w:i/>
          <w:sz w:val="28"/>
        </w:rPr>
        <w:t>Empire building/nation building</w:t>
      </w:r>
    </w:p>
    <w:p w:rsidR="00304CD3" w:rsidRDefault="00304CD3" w:rsidP="000B2651">
      <w:pPr>
        <w:jc w:val="both"/>
        <w:rPr>
          <w:sz w:val="28"/>
        </w:rPr>
      </w:pPr>
      <w:r>
        <w:rPr>
          <w:sz w:val="28"/>
        </w:rPr>
        <w:t>Il libro parte dall’ascesa al trono di Alessandro II e la sconfitta nella guerra di Crimea (1855).</w:t>
      </w:r>
    </w:p>
    <w:p w:rsidR="00304CD3" w:rsidRDefault="00304CD3" w:rsidP="000B2651">
      <w:pPr>
        <w:jc w:val="both"/>
        <w:rPr>
          <w:sz w:val="28"/>
        </w:rPr>
      </w:pPr>
      <w:r>
        <w:rPr>
          <w:sz w:val="28"/>
        </w:rPr>
        <w:t>Nel 1861 l’abolizione del servaggio mette in moto una dinamica plurale di eventi, quali:</w:t>
      </w:r>
    </w:p>
    <w:p w:rsidR="00304CD3" w:rsidRDefault="00304CD3" w:rsidP="000B2651">
      <w:pPr>
        <w:pStyle w:val="Paragrafoelenco"/>
        <w:numPr>
          <w:ilvl w:val="0"/>
          <w:numId w:val="3"/>
        </w:numPr>
        <w:jc w:val="both"/>
        <w:rPr>
          <w:sz w:val="28"/>
        </w:rPr>
      </w:pPr>
      <w:r>
        <w:rPr>
          <w:sz w:val="28"/>
        </w:rPr>
        <w:t xml:space="preserve">Decollo industriale, </w:t>
      </w:r>
    </w:p>
    <w:p w:rsidR="00304CD3" w:rsidRDefault="00304CD3" w:rsidP="000B2651">
      <w:pPr>
        <w:pStyle w:val="Paragrafoelenco"/>
        <w:numPr>
          <w:ilvl w:val="0"/>
          <w:numId w:val="3"/>
        </w:numPr>
        <w:jc w:val="both"/>
        <w:rPr>
          <w:sz w:val="28"/>
        </w:rPr>
      </w:pPr>
      <w:r>
        <w:rPr>
          <w:sz w:val="28"/>
        </w:rPr>
        <w:t>F</w:t>
      </w:r>
      <w:r w:rsidRPr="00304CD3">
        <w:rPr>
          <w:sz w:val="28"/>
        </w:rPr>
        <w:t>ormazione di una classe media e istruita</w:t>
      </w:r>
    </w:p>
    <w:p w:rsidR="00304CD3" w:rsidRDefault="00304CD3" w:rsidP="000B2651">
      <w:pPr>
        <w:pStyle w:val="Paragrafoelenco"/>
        <w:numPr>
          <w:ilvl w:val="0"/>
          <w:numId w:val="3"/>
        </w:numPr>
        <w:jc w:val="both"/>
        <w:rPr>
          <w:sz w:val="28"/>
        </w:rPr>
      </w:pPr>
      <w:r>
        <w:rPr>
          <w:sz w:val="28"/>
        </w:rPr>
        <w:t>Nascita di partiti politici</w:t>
      </w:r>
    </w:p>
    <w:p w:rsidR="00304CD3" w:rsidRDefault="00304CD3" w:rsidP="000B2651">
      <w:pPr>
        <w:jc w:val="both"/>
        <w:rPr>
          <w:sz w:val="28"/>
        </w:rPr>
      </w:pPr>
      <w:r>
        <w:rPr>
          <w:sz w:val="28"/>
        </w:rPr>
        <w:t>Si apre una forte contraddizione fra città e campagna , elites e popolo, Stato e intelligencija. La differenziazione di classe si afferma in una contraddittorio clima di politiche statali.</w:t>
      </w:r>
    </w:p>
    <w:p w:rsidR="00304CD3" w:rsidRDefault="00304CD3" w:rsidP="000B2651">
      <w:pPr>
        <w:jc w:val="both"/>
        <w:rPr>
          <w:sz w:val="28"/>
        </w:rPr>
      </w:pPr>
      <w:r>
        <w:rPr>
          <w:noProof/>
        </w:rPr>
        <w:lastRenderedPageBreak/>
        <w:drawing>
          <wp:inline distT="0" distB="0" distL="0" distR="0">
            <wp:extent cx="1937961" cy="2439130"/>
            <wp:effectExtent l="19050" t="0" r="5139" b="0"/>
            <wp:docPr id="25" name="Immagine 25" descr="https://upload.wikimedia.org/wikipedia/commons/thumb/d/d6/Alexander_II_of_Russia_photo.jpg/238px-Alexander_II_of_Russia_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upload.wikimedia.org/wikipedia/commons/thumb/d/d6/Alexander_II_of_Russia_photo.jpg/238px-Alexander_II_of_Russia_photo.jpg"/>
                    <pic:cNvPicPr>
                      <a:picLocks noChangeAspect="1" noChangeArrowheads="1"/>
                    </pic:cNvPicPr>
                  </pic:nvPicPr>
                  <pic:blipFill>
                    <a:blip r:embed="rId14"/>
                    <a:srcRect/>
                    <a:stretch>
                      <a:fillRect/>
                    </a:stretch>
                  </pic:blipFill>
                  <pic:spPr bwMode="auto">
                    <a:xfrm>
                      <a:off x="0" y="0"/>
                      <a:ext cx="1939590" cy="2441180"/>
                    </a:xfrm>
                    <a:prstGeom prst="rect">
                      <a:avLst/>
                    </a:prstGeom>
                    <a:noFill/>
                    <a:ln w="9525">
                      <a:noFill/>
                      <a:miter lim="800000"/>
                      <a:headEnd/>
                      <a:tailEnd/>
                    </a:ln>
                  </pic:spPr>
                </pic:pic>
              </a:graphicData>
            </a:graphic>
          </wp:inline>
        </w:drawing>
      </w:r>
      <w:r>
        <w:rPr>
          <w:rStyle w:val="Rimandonotaapidipagina"/>
          <w:sz w:val="28"/>
        </w:rPr>
        <w:footnoteReference w:id="2"/>
      </w:r>
      <w:r w:rsidR="00CD73E0">
        <w:rPr>
          <w:noProof/>
        </w:rPr>
        <w:drawing>
          <wp:inline distT="0" distB="0" distL="0" distR="0">
            <wp:extent cx="3610239" cy="2432649"/>
            <wp:effectExtent l="19050" t="0" r="9261" b="0"/>
            <wp:docPr id="28" name="Immagine 28" descr="Combat dans la gorge de Malakoff, le 8 septembre 1855 (par Adolphe Yv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ombat dans la gorge de Malakoff, le 8 septembre 1855 (par Adolphe Yvon).jpg"/>
                    <pic:cNvPicPr>
                      <a:picLocks noChangeAspect="1" noChangeArrowheads="1"/>
                    </pic:cNvPicPr>
                  </pic:nvPicPr>
                  <pic:blipFill>
                    <a:blip r:embed="rId15"/>
                    <a:srcRect/>
                    <a:stretch>
                      <a:fillRect/>
                    </a:stretch>
                  </pic:blipFill>
                  <pic:spPr bwMode="auto">
                    <a:xfrm>
                      <a:off x="0" y="0"/>
                      <a:ext cx="3611923" cy="2433784"/>
                    </a:xfrm>
                    <a:prstGeom prst="rect">
                      <a:avLst/>
                    </a:prstGeom>
                    <a:noFill/>
                    <a:ln w="9525">
                      <a:noFill/>
                      <a:miter lim="800000"/>
                      <a:headEnd/>
                      <a:tailEnd/>
                    </a:ln>
                  </pic:spPr>
                </pic:pic>
              </a:graphicData>
            </a:graphic>
          </wp:inline>
        </w:drawing>
      </w:r>
      <w:r w:rsidR="00CD73E0">
        <w:rPr>
          <w:rStyle w:val="Rimandonotaapidipagina"/>
          <w:sz w:val="28"/>
        </w:rPr>
        <w:footnoteReference w:id="3"/>
      </w:r>
    </w:p>
    <w:p w:rsidR="00304CD3" w:rsidRDefault="00304CD3" w:rsidP="000B2651">
      <w:pPr>
        <w:jc w:val="both"/>
        <w:rPr>
          <w:sz w:val="28"/>
        </w:rPr>
      </w:pPr>
      <w:r>
        <w:rPr>
          <w:sz w:val="28"/>
        </w:rPr>
        <w:lastRenderedPageBreak/>
        <w:t>Il potere zarista promuove la modernizzazione ma è ostile al coinvolgimento politico di altri cittadini. Lo zarismo era un potere autocratico, dispotico e personalistico: aveva rilevato anche la sovranità dei khanati mongoli in declino e tentava di raccogliere l’eredità imperiale bizantina.</w:t>
      </w:r>
      <w:r w:rsidR="007A3063">
        <w:rPr>
          <w:sz w:val="28"/>
        </w:rPr>
        <w:t xml:space="preserve"> Pietro il Grande (1672-1725) aveva introdotto il modello della razionalità burocratica. Inoltre apportò uno stile di progresso dei costumi. Nell’800 si sfideranno movimenti liberali, rivoluzionari e comunisti: sarà l’inizio del processo che porterà alla “rivoluzione russa”.</w:t>
      </w:r>
    </w:p>
    <w:p w:rsidR="00304CD3" w:rsidRDefault="007A3063" w:rsidP="000B2651">
      <w:pPr>
        <w:jc w:val="both"/>
        <w:rPr>
          <w:sz w:val="28"/>
        </w:rPr>
      </w:pPr>
      <w:r>
        <w:rPr>
          <w:noProof/>
        </w:rPr>
        <w:drawing>
          <wp:inline distT="0" distB="0" distL="0" distR="0">
            <wp:extent cx="3050526" cy="4097547"/>
            <wp:effectExtent l="19050" t="0" r="0" b="0"/>
            <wp:docPr id="31" name="Immagine 31" descr="https://upload.wikimedia.org/wikipedia/commons/thumb/7/72/Peter_der-Grosse_1838.jpg/800px-Peter_der-Grosse_18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upload.wikimedia.org/wikipedia/commons/thumb/7/72/Peter_der-Grosse_1838.jpg/800px-Peter_der-Grosse_1838.jpg"/>
                    <pic:cNvPicPr>
                      <a:picLocks noChangeAspect="1" noChangeArrowheads="1"/>
                    </pic:cNvPicPr>
                  </pic:nvPicPr>
                  <pic:blipFill>
                    <a:blip r:embed="rId16"/>
                    <a:srcRect/>
                    <a:stretch>
                      <a:fillRect/>
                    </a:stretch>
                  </pic:blipFill>
                  <pic:spPr bwMode="auto">
                    <a:xfrm>
                      <a:off x="0" y="0"/>
                      <a:ext cx="3050432" cy="4097420"/>
                    </a:xfrm>
                    <a:prstGeom prst="rect">
                      <a:avLst/>
                    </a:prstGeom>
                    <a:noFill/>
                    <a:ln w="9525">
                      <a:noFill/>
                      <a:miter lim="800000"/>
                      <a:headEnd/>
                      <a:tailEnd/>
                    </a:ln>
                  </pic:spPr>
                </pic:pic>
              </a:graphicData>
            </a:graphic>
          </wp:inline>
        </w:drawing>
      </w:r>
      <w:r>
        <w:rPr>
          <w:sz w:val="28"/>
        </w:rPr>
        <w:t>Pietro il Grande (1672-1725)</w:t>
      </w:r>
    </w:p>
    <w:p w:rsidR="0035594E" w:rsidRDefault="0036302F" w:rsidP="000B2651">
      <w:pPr>
        <w:pStyle w:val="Titolo1"/>
        <w:jc w:val="both"/>
      </w:pPr>
      <w:bookmarkStart w:id="1" w:name="_Toc493625426"/>
      <w:r>
        <w:lastRenderedPageBreak/>
        <w:t xml:space="preserve">1° Capitolo: </w:t>
      </w:r>
      <w:r w:rsidR="0035594E" w:rsidRPr="0035594E">
        <w:t>Alessandro II (1855-81)</w:t>
      </w:r>
      <w:r w:rsidR="0035594E">
        <w:t xml:space="preserve"> e le “grandi riforme”</w:t>
      </w:r>
      <w:bookmarkEnd w:id="1"/>
    </w:p>
    <w:p w:rsidR="0036302F" w:rsidRPr="0036302F" w:rsidRDefault="0036302F" w:rsidP="000B2651">
      <w:pPr>
        <w:pStyle w:val="Titolo2"/>
        <w:jc w:val="both"/>
        <w:rPr>
          <w:color w:val="0070C0"/>
          <w:sz w:val="28"/>
        </w:rPr>
      </w:pPr>
      <w:bookmarkStart w:id="2" w:name="_Toc493625427"/>
      <w:r>
        <w:rPr>
          <w:color w:val="0070C0"/>
          <w:sz w:val="28"/>
        </w:rPr>
        <w:t>L’abolizione del servaggio</w:t>
      </w:r>
      <w:bookmarkEnd w:id="2"/>
    </w:p>
    <w:p w:rsidR="0035594E" w:rsidRDefault="0035594E" w:rsidP="000B2651">
      <w:pPr>
        <w:jc w:val="both"/>
        <w:rPr>
          <w:color w:val="000000" w:themeColor="text1"/>
          <w:sz w:val="28"/>
        </w:rPr>
      </w:pPr>
      <w:r>
        <w:rPr>
          <w:color w:val="000000" w:themeColor="text1"/>
          <w:sz w:val="28"/>
        </w:rPr>
        <w:t>La vittoria di Pietro il Grande sugli svedesi nella Grande Guerra del Nord</w:t>
      </w:r>
      <w:r>
        <w:rPr>
          <w:rStyle w:val="Rimandonotaapidipagina"/>
          <w:color w:val="000000" w:themeColor="text1"/>
          <w:sz w:val="28"/>
        </w:rPr>
        <w:footnoteReference w:id="4"/>
      </w:r>
      <w:r>
        <w:rPr>
          <w:color w:val="000000" w:themeColor="text1"/>
          <w:sz w:val="28"/>
        </w:rPr>
        <w:t xml:space="preserve"> si concluse con il </w:t>
      </w:r>
      <w:r w:rsidRPr="0035594E">
        <w:rPr>
          <w:i/>
          <w:color w:val="000000" w:themeColor="text1"/>
          <w:sz w:val="28"/>
        </w:rPr>
        <w:t>Trattato di Nystadt</w:t>
      </w:r>
      <w:r>
        <w:rPr>
          <w:color w:val="000000" w:themeColor="text1"/>
          <w:sz w:val="28"/>
        </w:rPr>
        <w:t xml:space="preserve"> del 1721. Questa fu una svolta nella Storia dell’Europa moderna: l’impero dei Romanov si affermò come potenza egemone nell’area del Baltico.</w:t>
      </w:r>
    </w:p>
    <w:p w:rsidR="0035594E" w:rsidRDefault="002624C2" w:rsidP="000B2651">
      <w:pPr>
        <w:jc w:val="both"/>
        <w:rPr>
          <w:color w:val="000000" w:themeColor="text1"/>
          <w:sz w:val="28"/>
        </w:rPr>
      </w:pPr>
      <w:r w:rsidRPr="002624C2">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2" type="#_x0000_t13" style="position:absolute;left:0;text-align:left;margin-left:314.05pt;margin-top:59.95pt;width:32.25pt;height:12.7pt;z-index:251664384" fillcolor="red"/>
        </w:pict>
      </w:r>
      <w:r w:rsidRPr="002624C2">
        <w:rPr>
          <w:noProof/>
        </w:rPr>
        <w:pict>
          <v:shape id="_x0000_s1031" type="#_x0000_t13" style="position:absolute;left:0;text-align:left;margin-left:232.25pt;margin-top:79.05pt;width:32.25pt;height:12.7pt;z-index:251663360" fillcolor="red"/>
        </w:pict>
      </w:r>
      <w:r w:rsidRPr="002624C2">
        <w:rPr>
          <w:noProof/>
        </w:rPr>
        <w:pict>
          <v:shape id="_x0000_s1030" type="#_x0000_t13" style="position:absolute;left:0;text-align:left;margin-left:240.5pt;margin-top:128.1pt;width:32.25pt;height:12.7pt;z-index:251662336" fillcolor="red"/>
        </w:pict>
      </w:r>
      <w:r w:rsidR="0035594E">
        <w:rPr>
          <w:noProof/>
        </w:rPr>
        <w:drawing>
          <wp:inline distT="0" distB="0" distL="0" distR="0">
            <wp:extent cx="2160879" cy="2282060"/>
            <wp:effectExtent l="19050" t="0" r="0" b="0"/>
            <wp:docPr id="34" name="Immagine 34" descr="File:NystatIng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File:NystatIngria.png"/>
                    <pic:cNvPicPr>
                      <a:picLocks noChangeAspect="1" noChangeArrowheads="1"/>
                    </pic:cNvPicPr>
                  </pic:nvPicPr>
                  <pic:blipFill>
                    <a:blip r:embed="rId17"/>
                    <a:srcRect/>
                    <a:stretch>
                      <a:fillRect/>
                    </a:stretch>
                  </pic:blipFill>
                  <pic:spPr bwMode="auto">
                    <a:xfrm>
                      <a:off x="0" y="0"/>
                      <a:ext cx="2160989" cy="2282177"/>
                    </a:xfrm>
                    <a:prstGeom prst="rect">
                      <a:avLst/>
                    </a:prstGeom>
                    <a:noFill/>
                    <a:ln w="9525">
                      <a:noFill/>
                      <a:miter lim="800000"/>
                      <a:headEnd/>
                      <a:tailEnd/>
                    </a:ln>
                  </pic:spPr>
                </pic:pic>
              </a:graphicData>
            </a:graphic>
          </wp:inline>
        </w:drawing>
      </w:r>
      <w:r w:rsidR="0035594E">
        <w:rPr>
          <w:noProof/>
        </w:rPr>
        <w:drawing>
          <wp:inline distT="0" distB="0" distL="0" distR="0">
            <wp:extent cx="2541270" cy="2285010"/>
            <wp:effectExtent l="19050" t="0" r="0" b="0"/>
            <wp:docPr id="37" name="Immagine 37" descr="https://upload.wikimedia.org/wikipedia/commons/3/3c/Sw_BalticProv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upload.wikimedia.org/wikipedia/commons/3/3c/Sw_BalticProv_en.png"/>
                    <pic:cNvPicPr>
                      <a:picLocks noChangeAspect="1" noChangeArrowheads="1"/>
                    </pic:cNvPicPr>
                  </pic:nvPicPr>
                  <pic:blipFill>
                    <a:blip r:embed="rId18" cstate="print"/>
                    <a:srcRect/>
                    <a:stretch>
                      <a:fillRect/>
                    </a:stretch>
                  </pic:blipFill>
                  <pic:spPr bwMode="auto">
                    <a:xfrm>
                      <a:off x="0" y="0"/>
                      <a:ext cx="2545296" cy="2288630"/>
                    </a:xfrm>
                    <a:prstGeom prst="rect">
                      <a:avLst/>
                    </a:prstGeom>
                    <a:noFill/>
                    <a:ln w="9525">
                      <a:noFill/>
                      <a:miter lim="800000"/>
                      <a:headEnd/>
                      <a:tailEnd/>
                    </a:ln>
                  </pic:spPr>
                </pic:pic>
              </a:graphicData>
            </a:graphic>
          </wp:inline>
        </w:drawing>
      </w:r>
      <w:r w:rsidR="000B1342">
        <w:rPr>
          <w:noProof/>
        </w:rPr>
        <w:drawing>
          <wp:inline distT="0" distB="0" distL="0" distR="0">
            <wp:extent cx="1352013" cy="2282342"/>
            <wp:effectExtent l="19050" t="0" r="537" b="0"/>
            <wp:docPr id="11" name="Immagine 40" descr="Risultati immagini per nicola 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Risultati immagini per nicola I"/>
                    <pic:cNvPicPr>
                      <a:picLocks noChangeAspect="1" noChangeArrowheads="1"/>
                    </pic:cNvPicPr>
                  </pic:nvPicPr>
                  <pic:blipFill>
                    <a:blip r:embed="rId19"/>
                    <a:srcRect/>
                    <a:stretch>
                      <a:fillRect/>
                    </a:stretch>
                  </pic:blipFill>
                  <pic:spPr bwMode="auto">
                    <a:xfrm>
                      <a:off x="0" y="0"/>
                      <a:ext cx="1352013" cy="2282342"/>
                    </a:xfrm>
                    <a:prstGeom prst="rect">
                      <a:avLst/>
                    </a:prstGeom>
                    <a:noFill/>
                    <a:ln w="9525">
                      <a:noFill/>
                      <a:miter lim="800000"/>
                      <a:headEnd/>
                      <a:tailEnd/>
                    </a:ln>
                  </pic:spPr>
                </pic:pic>
              </a:graphicData>
            </a:graphic>
          </wp:inline>
        </w:drawing>
      </w:r>
    </w:p>
    <w:p w:rsidR="0035594E" w:rsidRPr="00112CFF" w:rsidRDefault="0035594E" w:rsidP="000B2651">
      <w:pPr>
        <w:jc w:val="both"/>
        <w:rPr>
          <w:color w:val="000000" w:themeColor="text1"/>
          <w:sz w:val="24"/>
        </w:rPr>
      </w:pPr>
      <w:r w:rsidRPr="00112CFF">
        <w:rPr>
          <w:color w:val="000000" w:themeColor="text1"/>
          <w:sz w:val="24"/>
        </w:rPr>
        <w:t xml:space="preserve">Figura 1: La Russia </w:t>
      </w:r>
      <w:r w:rsidR="00112CFF">
        <w:rPr>
          <w:color w:val="000000" w:themeColor="text1"/>
          <w:sz w:val="24"/>
        </w:rPr>
        <w:t xml:space="preserve">annette i territori svedesi; </w:t>
      </w:r>
      <w:r w:rsidRPr="00112CFF">
        <w:rPr>
          <w:color w:val="000000" w:themeColor="text1"/>
          <w:sz w:val="24"/>
        </w:rPr>
        <w:t>Figura 2: Gli ex territori svedesi: Livonia, Estonia, Igria</w:t>
      </w:r>
    </w:p>
    <w:p w:rsidR="0035594E" w:rsidRDefault="0035594E" w:rsidP="000B2651">
      <w:pPr>
        <w:jc w:val="both"/>
        <w:rPr>
          <w:color w:val="000000" w:themeColor="text1"/>
          <w:sz w:val="28"/>
        </w:rPr>
      </w:pPr>
      <w:r>
        <w:rPr>
          <w:color w:val="000000" w:themeColor="text1"/>
          <w:sz w:val="28"/>
        </w:rPr>
        <w:t>La Russia aveva sconfitto Napoleone ed era uno dei p</w:t>
      </w:r>
      <w:r w:rsidR="000B1342">
        <w:rPr>
          <w:color w:val="000000" w:themeColor="text1"/>
          <w:sz w:val="28"/>
        </w:rPr>
        <w:t>ilastri del congresso di Vienna e della Restaurazione. Nicola I fu un grande autocratico: la Russia, infatti, non fu coinvolta dalle rivoluzioni del 1848/49 e addirittura assurgeva a ruolo di “gendarme d’Europa”.</w:t>
      </w:r>
    </w:p>
    <w:p w:rsidR="000B1342" w:rsidRDefault="000B1342" w:rsidP="000B2651">
      <w:pPr>
        <w:jc w:val="both"/>
        <w:rPr>
          <w:color w:val="000000" w:themeColor="text1"/>
          <w:sz w:val="28"/>
        </w:rPr>
      </w:pPr>
      <w:r>
        <w:rPr>
          <w:color w:val="000000" w:themeColor="text1"/>
          <w:sz w:val="28"/>
        </w:rPr>
        <w:t>Inaspettato fu il colpo subito nella guerra di Crim</w:t>
      </w:r>
      <w:r w:rsidR="0091698B">
        <w:rPr>
          <w:color w:val="000000" w:themeColor="text1"/>
          <w:sz w:val="28"/>
        </w:rPr>
        <w:t>e</w:t>
      </w:r>
      <w:r>
        <w:rPr>
          <w:color w:val="000000" w:themeColor="text1"/>
          <w:sz w:val="28"/>
        </w:rPr>
        <w:t>a (1853-1855). La guerra era sorta per la gestione religiosa (cattolica o ortodossa) di alcuni santuari in Terra Santa. Il conflitto divenne una guerra sanguinosa, nella quale la Russia fronteggiò una coalizione europea composta da Turchia</w:t>
      </w:r>
      <w:r w:rsidR="00A32AD1">
        <w:rPr>
          <w:rStyle w:val="Rimandonotaapidipagina"/>
          <w:color w:val="000000" w:themeColor="text1"/>
          <w:sz w:val="28"/>
        </w:rPr>
        <w:footnoteReference w:id="5"/>
      </w:r>
      <w:r>
        <w:rPr>
          <w:color w:val="000000" w:themeColor="text1"/>
          <w:sz w:val="28"/>
        </w:rPr>
        <w:t>, Inghilterra, Francia e Piemonte con l’appoggio diplomatico dell’Austria.</w:t>
      </w:r>
    </w:p>
    <w:p w:rsidR="00A32AD1" w:rsidRDefault="00A32AD1" w:rsidP="000B2651">
      <w:pPr>
        <w:jc w:val="both"/>
        <w:rPr>
          <w:color w:val="000000" w:themeColor="text1"/>
          <w:sz w:val="28"/>
        </w:rPr>
      </w:pPr>
      <w:r>
        <w:rPr>
          <w:color w:val="000000" w:themeColor="text1"/>
          <w:sz w:val="28"/>
        </w:rPr>
        <w:t xml:space="preserve">La Russia fu sconfitta, anche se dimostrò valore nell’assedio di Sebastopoli. La Russia fu ridimensionata del suo status politico e il Trattato di Parigi (1856) ridusse la </w:t>
      </w:r>
      <w:r>
        <w:rPr>
          <w:color w:val="000000" w:themeColor="text1"/>
          <w:sz w:val="28"/>
        </w:rPr>
        <w:lastRenderedPageBreak/>
        <w:t xml:space="preserve">presenza militare nel Mar Nero, in Bessarabia (Moldavia) e nelle isole di Aaland nel golfo di Botnia, fra Finlandia e Svezia). </w:t>
      </w:r>
    </w:p>
    <w:p w:rsidR="00A32AD1" w:rsidRDefault="00A32AD1" w:rsidP="000B2651">
      <w:pPr>
        <w:jc w:val="both"/>
        <w:rPr>
          <w:color w:val="000000" w:themeColor="text1"/>
          <w:sz w:val="28"/>
        </w:rPr>
      </w:pPr>
      <w:r>
        <w:rPr>
          <w:color w:val="000000" w:themeColor="text1"/>
          <w:sz w:val="28"/>
        </w:rPr>
        <w:t>A Nicola I succedette Alessandro II. L’umiliazione subita pose d’urgenza il problema dell’ammodernamento. La sconfitta era dovuta a cause materiale: armi, equipaggiamento, mezzi di trasporto, risorse economiche.</w:t>
      </w:r>
    </w:p>
    <w:p w:rsidR="00A32AD1" w:rsidRDefault="00A32AD1" w:rsidP="000B2651">
      <w:pPr>
        <w:jc w:val="both"/>
        <w:rPr>
          <w:color w:val="000000" w:themeColor="text1"/>
          <w:sz w:val="28"/>
        </w:rPr>
      </w:pPr>
      <w:r>
        <w:rPr>
          <w:color w:val="000000" w:themeColor="text1"/>
          <w:sz w:val="28"/>
        </w:rPr>
        <w:t>Alessandro II nell’appello alla nobiltà del 1856 manifestò l’intenzione di abolire la servitù della gleba</w:t>
      </w:r>
      <w:r>
        <w:rPr>
          <w:rStyle w:val="Rimandonotaapidipagina"/>
          <w:color w:val="000000" w:themeColor="text1"/>
          <w:sz w:val="28"/>
        </w:rPr>
        <w:footnoteReference w:id="6"/>
      </w:r>
      <w:r>
        <w:rPr>
          <w:color w:val="000000" w:themeColor="text1"/>
          <w:sz w:val="28"/>
        </w:rPr>
        <w:t>. Difatti già dalle campagne provenivano turbolenze e disordini e un profondo malessere economico-sociale. Alcuni storici parlano già di una “situazione rivoluzionaria”. Lo za</w:t>
      </w:r>
      <w:r w:rsidR="000260AA">
        <w:rPr>
          <w:color w:val="000000" w:themeColor="text1"/>
          <w:sz w:val="28"/>
        </w:rPr>
        <w:t>r affermò ai nobili riluttanti:</w:t>
      </w:r>
    </w:p>
    <w:tbl>
      <w:tblPr>
        <w:tblW w:w="0" w:type="dxa"/>
        <w:tblCellSpacing w:w="15" w:type="dxa"/>
        <w:tblCellMar>
          <w:left w:w="0" w:type="dxa"/>
          <w:right w:w="0" w:type="dxa"/>
        </w:tblCellMar>
        <w:tblLook w:val="04A0"/>
      </w:tblPr>
      <w:tblGrid>
        <w:gridCol w:w="10562"/>
      </w:tblGrid>
      <w:tr w:rsidR="000260AA" w:rsidRPr="000260AA" w:rsidTr="000260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260AA" w:rsidRPr="000260AA" w:rsidRDefault="000260AA" w:rsidP="000B2651">
            <w:pPr>
              <w:spacing w:after="120" w:line="240" w:lineRule="auto"/>
              <w:jc w:val="both"/>
              <w:rPr>
                <w:rFonts w:eastAsia="Times New Roman" w:cstheme="minorHAnsi"/>
                <w:color w:val="000000" w:themeColor="text1"/>
                <w:sz w:val="28"/>
                <w:szCs w:val="15"/>
              </w:rPr>
            </w:pPr>
            <w:r w:rsidRPr="000260AA">
              <w:rPr>
                <w:rFonts w:eastAsia="Times New Roman" w:cstheme="minorHAnsi"/>
                <w:color w:val="000000" w:themeColor="text1"/>
                <w:sz w:val="28"/>
                <w:szCs w:val="15"/>
              </w:rPr>
              <w:t>« […] Ma, naturalmente, e voi stessi ve ne rendete conto, il sistema attuale di proprietà di servi non può rimanere inalterato. È meglio cominciare ad abolire il servaggio dall'alto piuttosto che aspettare che esso cominci ad essere abolito dal basso. Quello che vi chiedo, signori, è di pensare come questo possa essere fatto. »</w:t>
            </w:r>
          </w:p>
        </w:tc>
      </w:tr>
      <w:tr w:rsidR="000260AA" w:rsidRPr="000260AA" w:rsidTr="000260AA">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260AA" w:rsidRPr="000260AA" w:rsidRDefault="000260AA" w:rsidP="000B2651">
            <w:pPr>
              <w:spacing w:after="120" w:line="240" w:lineRule="auto"/>
              <w:jc w:val="both"/>
              <w:rPr>
                <w:rFonts w:eastAsia="Times New Roman" w:cstheme="minorHAnsi"/>
                <w:color w:val="000000" w:themeColor="text1"/>
                <w:sz w:val="28"/>
                <w:szCs w:val="15"/>
              </w:rPr>
            </w:pPr>
            <w:r w:rsidRPr="000260AA">
              <w:rPr>
                <w:rFonts w:eastAsia="Times New Roman" w:cstheme="minorHAnsi"/>
                <w:color w:val="000000" w:themeColor="text1"/>
                <w:sz w:val="28"/>
                <w:szCs w:val="15"/>
              </w:rPr>
              <w:t>(Dal discorso di Alessandro II alla nobiltà moscovita dell'11 aprile 1856)</w:t>
            </w:r>
          </w:p>
          <w:p w:rsidR="000260AA" w:rsidRDefault="000260AA"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Il processo doveva trovare dei punti di incontro con gli interessi della nobiltà. Un ruolo precipuo nel stilare la nova riforma fu svolto dai burocrati illuminati (Nikolaj Miljutin e Sergej Zarudnyi), cancellieri a Pietroburgo, che introdussero un atteggiamento innovativo, raccogliendo dati e notizie sulle condizioni delle province ed elaborarono concrete ipotesi di riforma.</w:t>
            </w:r>
          </w:p>
          <w:p w:rsidR="008F0A26" w:rsidRDefault="008F0A26"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Nel gennaio del 1858 fu sospesa la censura: proliferarono riviste, pubblicazioni e riviste straniere. L’apertura all’Occidente si mostrò grazie alla concessione di permessi di fuoriuscita all’estero (molti studiosi, storici, economisti).</w:t>
            </w:r>
          </w:p>
          <w:p w:rsidR="008F0A26" w:rsidRDefault="008F0A26"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Nel 1857 lo zar istituì il “Comitato segreto” (poi Comitato centrale) per discutere la questione contadina. Il Comitato segreto aveva un orientamento conservatore.</w:t>
            </w:r>
            <w:r w:rsidR="00D41E7F">
              <w:rPr>
                <w:rFonts w:eastAsia="Times New Roman" w:cstheme="minorHAnsi"/>
                <w:color w:val="000000" w:themeColor="text1"/>
                <w:sz w:val="28"/>
                <w:szCs w:val="15"/>
              </w:rPr>
              <w:t xml:space="preserve"> Dopo la proposta di emancipare i contadini senza terra, da parte della nobiltà baltica, Alessandro II rispose con il </w:t>
            </w:r>
            <w:r w:rsidR="00D41E7F" w:rsidRPr="00D41E7F">
              <w:rPr>
                <w:rFonts w:eastAsia="Times New Roman" w:cstheme="minorHAnsi"/>
                <w:i/>
                <w:color w:val="000000" w:themeColor="text1"/>
                <w:sz w:val="28"/>
                <w:szCs w:val="15"/>
              </w:rPr>
              <w:t>rescritto di Nazimov</w:t>
            </w:r>
            <w:r w:rsidR="00D41E7F">
              <w:rPr>
                <w:rFonts w:eastAsia="Times New Roman" w:cstheme="minorHAnsi"/>
                <w:color w:val="000000" w:themeColor="text1"/>
                <w:sz w:val="28"/>
                <w:szCs w:val="15"/>
              </w:rPr>
              <w:t xml:space="preserve">, preludio allo </w:t>
            </w:r>
            <w:r w:rsidR="00D41E7F">
              <w:rPr>
                <w:rFonts w:eastAsia="Times New Roman" w:cstheme="minorHAnsi"/>
                <w:i/>
                <w:color w:val="000000" w:themeColor="text1"/>
                <w:sz w:val="28"/>
                <w:szCs w:val="15"/>
              </w:rPr>
              <w:t>Statuto generale sull’emancipazione</w:t>
            </w:r>
            <w:r w:rsidR="00D41E7F">
              <w:rPr>
                <w:rFonts w:eastAsia="Times New Roman" w:cstheme="minorHAnsi"/>
                <w:color w:val="000000" w:themeColor="text1"/>
                <w:sz w:val="28"/>
                <w:szCs w:val="15"/>
              </w:rPr>
              <w:t xml:space="preserve">. Il </w:t>
            </w:r>
            <w:r w:rsidR="00D41E7F">
              <w:rPr>
                <w:rFonts w:eastAsia="Times New Roman" w:cstheme="minorHAnsi"/>
                <w:i/>
                <w:color w:val="000000" w:themeColor="text1"/>
                <w:sz w:val="28"/>
                <w:szCs w:val="15"/>
              </w:rPr>
              <w:t>rescritto di Nazimov</w:t>
            </w:r>
            <w:r w:rsidR="00D41E7F">
              <w:rPr>
                <w:rFonts w:eastAsia="Times New Roman" w:cstheme="minorHAnsi"/>
                <w:color w:val="000000" w:themeColor="text1"/>
                <w:sz w:val="28"/>
                <w:szCs w:val="15"/>
              </w:rPr>
              <w:t xml:space="preserve"> non consentiva di privare i contadini della terra ma la nobiltà conservava i diritti di proprietà e polizia.</w:t>
            </w:r>
          </w:p>
          <w:p w:rsidR="00D41E7F" w:rsidRDefault="00D41E7F"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 xml:space="preserve">Alla fine del 1858 Alessandro II prese la decisione di liberare i cittadini dal servaggio preservando le loro terre. Dopo l’approvazione dal Consiglio di Stato, il 19 febbraio del 1861, Alessandro II firmò il </w:t>
            </w:r>
            <w:r w:rsidRPr="00D41E7F">
              <w:rPr>
                <w:rFonts w:eastAsia="Times New Roman" w:cstheme="minorHAnsi"/>
                <w:i/>
                <w:color w:val="000000" w:themeColor="text1"/>
                <w:sz w:val="28"/>
                <w:szCs w:val="15"/>
              </w:rPr>
              <w:t>Manifesto di emancipazione</w:t>
            </w:r>
            <w:r>
              <w:rPr>
                <w:rStyle w:val="Rimandonotaapidipagina"/>
                <w:rFonts w:eastAsia="Times New Roman" w:cstheme="minorHAnsi"/>
                <w:color w:val="000000" w:themeColor="text1"/>
                <w:sz w:val="28"/>
                <w:szCs w:val="15"/>
              </w:rPr>
              <w:footnoteReference w:id="7"/>
            </w:r>
            <w:r>
              <w:rPr>
                <w:rFonts w:eastAsia="Times New Roman" w:cstheme="minorHAnsi"/>
                <w:color w:val="000000" w:themeColor="text1"/>
                <w:sz w:val="28"/>
                <w:szCs w:val="15"/>
              </w:rPr>
              <w:t>.</w:t>
            </w:r>
          </w:p>
          <w:p w:rsidR="00D41E7F" w:rsidRDefault="00D41E7F"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lastRenderedPageBreak/>
              <w:t>La Riforma aveva 19 atti legislativi regolanti le varie modalità di emancipazione delle diverse regioni. Le linee guida furono:</w:t>
            </w:r>
          </w:p>
          <w:p w:rsidR="00D41E7F" w:rsidRDefault="00D41E7F" w:rsidP="000B2651">
            <w:pPr>
              <w:pStyle w:val="Paragrafoelenco"/>
              <w:numPr>
                <w:ilvl w:val="0"/>
                <w:numId w:val="4"/>
              </w:num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I nobili erano riconosciuti giuridicamente di essere i proprietari terrieri. Inoltre dovevano garantire agli ex-servi l’uso perpetuo della casa e una parte delle terre arabili in cambio di un sostanzioso indennizzo</w:t>
            </w:r>
          </w:p>
          <w:p w:rsidR="00B84003" w:rsidRDefault="00B84003" w:rsidP="000B2651">
            <w:pPr>
              <w:pStyle w:val="Paragrafoelenco"/>
              <w:numPr>
                <w:ilvl w:val="0"/>
                <w:numId w:val="4"/>
              </w:num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I nobili si accaparrarono le terre migliori, imponendo le proprie condizione per l’emancipazione. Inoltre qualche volta fu negato l’accesso ai fiumi e ai boschi agli stessi contadini</w:t>
            </w:r>
          </w:p>
          <w:p w:rsidR="00B84003" w:rsidRDefault="00B84003" w:rsidP="000B2651">
            <w:pPr>
              <w:pStyle w:val="Paragrafoelenco"/>
              <w:numPr>
                <w:ilvl w:val="0"/>
                <w:numId w:val="4"/>
              </w:num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I contadini ottennero il 20 % in meno delle terre precedentemente lavorate, invece, nelle “terre nere”</w:t>
            </w:r>
            <w:r>
              <w:rPr>
                <w:rStyle w:val="Rimandonotaapidipagina"/>
                <w:rFonts w:eastAsia="Times New Roman" w:cstheme="minorHAnsi"/>
                <w:color w:val="000000" w:themeColor="text1"/>
                <w:sz w:val="28"/>
                <w:szCs w:val="15"/>
              </w:rPr>
              <w:footnoteReference w:id="8"/>
            </w:r>
            <w:r>
              <w:rPr>
                <w:rFonts w:eastAsia="Times New Roman" w:cstheme="minorHAnsi"/>
                <w:color w:val="000000" w:themeColor="text1"/>
                <w:sz w:val="28"/>
                <w:szCs w:val="15"/>
              </w:rPr>
              <w:t>, terre assai fertili, arrivò al 40 %</w:t>
            </w:r>
          </w:p>
          <w:p w:rsidR="00B84003" w:rsidRDefault="00B84003" w:rsidP="000B2651">
            <w:pPr>
              <w:pStyle w:val="Paragrafoelenco"/>
              <w:numPr>
                <w:ilvl w:val="0"/>
                <w:numId w:val="4"/>
              </w:num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Nel 1863 favorevoli furono le condizioni di emancipazioni dei servi della famiglia imperiale e dei contadini di Stato (i contadini del demanio pubblico): ottennero il possesso permanente delle terre</w:t>
            </w:r>
          </w:p>
          <w:p w:rsidR="00B84003" w:rsidRDefault="00B84003" w:rsidP="000B2651">
            <w:pPr>
              <w:spacing w:after="120" w:line="240" w:lineRule="auto"/>
              <w:jc w:val="both"/>
              <w:rPr>
                <w:rFonts w:eastAsia="Times New Roman" w:cstheme="minorHAnsi"/>
                <w:color w:val="000000" w:themeColor="text1"/>
                <w:sz w:val="28"/>
                <w:szCs w:val="15"/>
              </w:rPr>
            </w:pPr>
            <w:r w:rsidRPr="00B84003">
              <w:rPr>
                <w:rFonts w:eastAsia="Times New Roman" w:cstheme="minorHAnsi"/>
                <w:color w:val="000000" w:themeColor="text1"/>
                <w:sz w:val="28"/>
                <w:szCs w:val="15"/>
              </w:rPr>
              <w:t>Lo Stato si faceva garante dei costi di ammortizzamento per i contadini indigenti tramite dei buoni della Corona.</w:t>
            </w:r>
            <w:r>
              <w:rPr>
                <w:rFonts w:eastAsia="Times New Roman" w:cstheme="minorHAnsi"/>
                <w:color w:val="000000" w:themeColor="text1"/>
                <w:sz w:val="28"/>
                <w:szCs w:val="15"/>
              </w:rPr>
              <w:t xml:space="preserve"> Invece i contadini rateizzavano le somme anticipate dallo Stato per 49 anni al tasso di interesse del 6%.</w:t>
            </w:r>
            <w:r w:rsidR="009E26C5">
              <w:rPr>
                <w:rFonts w:eastAsia="Times New Roman" w:cstheme="minorHAnsi"/>
                <w:color w:val="000000" w:themeColor="text1"/>
                <w:sz w:val="28"/>
                <w:szCs w:val="15"/>
              </w:rPr>
              <w:t xml:space="preserve"> La comunità del villaggio (volost) aveva la responsabilità di estinguere il gradualmente il debito. La responsabilità collettiva impediva ai contadini più forti economicamente di trasformarsi in proprietari terrieri indipendenti.</w:t>
            </w:r>
          </w:p>
          <w:p w:rsidR="009E26C5" w:rsidRDefault="009E26C5" w:rsidP="000B2651">
            <w:pPr>
              <w:spacing w:after="120" w:line="240" w:lineRule="auto"/>
              <w:jc w:val="both"/>
              <w:rPr>
                <w:rFonts w:eastAsia="Times New Roman" w:cstheme="minorHAnsi"/>
                <w:color w:val="000000" w:themeColor="text1"/>
                <w:sz w:val="28"/>
                <w:szCs w:val="15"/>
              </w:rPr>
            </w:pPr>
            <w:r>
              <w:rPr>
                <w:rFonts w:eastAsia="Times New Roman" w:cstheme="minorHAnsi"/>
                <w:color w:val="000000" w:themeColor="text1"/>
                <w:sz w:val="28"/>
                <w:szCs w:val="15"/>
              </w:rPr>
              <w:t xml:space="preserve">Questa riforma inasprì le condizioni agrarie del paese e accelerò il declino della nobiltà. Questa riforma fu uno spartiacque della storia russa e fu uno dei processi di ammodernamento. Questa riforma ebbe un impatto notevole. Più di 50 milioni di schiavi divennero liberi. Il contadiname russo fu privo di diritti civili (non poteva trasferirsi, comprare, vendere) ed era soggetto ai tribunali separati del </w:t>
            </w:r>
            <w:r w:rsidRPr="009E26C5">
              <w:rPr>
                <w:rFonts w:eastAsia="Times New Roman" w:cstheme="minorHAnsi"/>
                <w:i/>
                <w:color w:val="000000" w:themeColor="text1"/>
                <w:sz w:val="28"/>
                <w:szCs w:val="15"/>
              </w:rPr>
              <w:t>volost</w:t>
            </w:r>
            <w:r>
              <w:rPr>
                <w:rFonts w:eastAsia="Times New Roman" w:cstheme="minorHAnsi"/>
                <w:i/>
                <w:color w:val="000000" w:themeColor="text1"/>
                <w:sz w:val="28"/>
                <w:szCs w:val="15"/>
              </w:rPr>
              <w:t>’</w:t>
            </w:r>
            <w:r>
              <w:rPr>
                <w:rFonts w:eastAsia="Times New Roman" w:cstheme="minorHAnsi"/>
                <w:color w:val="000000" w:themeColor="text1"/>
                <w:sz w:val="28"/>
                <w:szCs w:val="15"/>
              </w:rPr>
              <w:t xml:space="preserve"> che amministravano la giustizia secondo il diritto consuetudinario</w:t>
            </w:r>
          </w:p>
          <w:p w:rsidR="000260AA" w:rsidRPr="00634E97" w:rsidRDefault="009E26C5" w:rsidP="000B2651">
            <w:pPr>
              <w:pStyle w:val="Titolo2"/>
              <w:jc w:val="both"/>
              <w:rPr>
                <w:rFonts w:eastAsia="Times New Roman"/>
                <w:sz w:val="28"/>
              </w:rPr>
            </w:pPr>
            <w:bookmarkStart w:id="3" w:name="_Toc493625428"/>
            <w:r w:rsidRPr="00634E97">
              <w:rPr>
                <w:rFonts w:eastAsia="Times New Roman"/>
                <w:sz w:val="28"/>
              </w:rPr>
              <w:t>Le altre riforme: amministrazione locale, giustizia, università, esercito</w:t>
            </w:r>
            <w:bookmarkEnd w:id="3"/>
          </w:p>
          <w:p w:rsidR="009D26F6" w:rsidRDefault="009D26F6" w:rsidP="000B2651">
            <w:pPr>
              <w:jc w:val="both"/>
              <w:rPr>
                <w:sz w:val="28"/>
              </w:rPr>
            </w:pPr>
          </w:p>
          <w:p w:rsidR="001D18B5" w:rsidRPr="005F3CF1" w:rsidRDefault="000D3403" w:rsidP="000B2651">
            <w:pPr>
              <w:jc w:val="both"/>
              <w:rPr>
                <w:b/>
                <w:sz w:val="28"/>
              </w:rPr>
            </w:pPr>
            <w:r w:rsidRPr="005F3CF1">
              <w:rPr>
                <w:b/>
                <w:sz w:val="28"/>
              </w:rPr>
              <w:t>Amministrazione rurale</w:t>
            </w:r>
            <w:r w:rsidR="009D26F6" w:rsidRPr="005F3CF1">
              <w:rPr>
                <w:b/>
                <w:sz w:val="28"/>
              </w:rPr>
              <w:t>:</w:t>
            </w:r>
          </w:p>
          <w:p w:rsidR="00634E97" w:rsidRDefault="00634E97" w:rsidP="000B2651">
            <w:pPr>
              <w:jc w:val="both"/>
              <w:rPr>
                <w:sz w:val="28"/>
              </w:rPr>
            </w:pPr>
            <w:r>
              <w:rPr>
                <w:sz w:val="28"/>
              </w:rPr>
              <w:t>1</w:t>
            </w:r>
            <w:r w:rsidR="00BB216A">
              <w:rPr>
                <w:sz w:val="28"/>
              </w:rPr>
              <w:t>°</w:t>
            </w:r>
            <w:r>
              <w:rPr>
                <w:sz w:val="28"/>
              </w:rPr>
              <w:t xml:space="preserve"> Gennaio</w:t>
            </w:r>
            <w:r w:rsidR="00BB216A">
              <w:rPr>
                <w:sz w:val="28"/>
              </w:rPr>
              <w:t xml:space="preserve"> 1864 fu varata la riforma dell’amministrazione rurale, in modo da adeguare il funzionamento del governo locale alla nuova realtà post-servile (furono aboliti elementi di giurisdizione signorile) e in modo da a vere un controllo più efficiente sul territorio (qui i dati della burocrazia “illuminata” ebbero effetti positivi). Vennero istituiti 33 (poi 34) zemstva</w:t>
            </w:r>
            <w:r w:rsidR="0036439D">
              <w:rPr>
                <w:sz w:val="28"/>
              </w:rPr>
              <w:t>.</w:t>
            </w:r>
          </w:p>
          <w:p w:rsidR="0036439D" w:rsidRDefault="0036439D" w:rsidP="000B2651">
            <w:pPr>
              <w:jc w:val="both"/>
              <w:rPr>
                <w:sz w:val="28"/>
              </w:rPr>
            </w:pPr>
            <w:r>
              <w:rPr>
                <w:noProof/>
              </w:rPr>
              <w:lastRenderedPageBreak/>
              <w:drawing>
                <wp:inline distT="0" distB="0" distL="0" distR="0">
                  <wp:extent cx="1552575" cy="1552575"/>
                  <wp:effectExtent l="19050" t="0" r="9525" b="0"/>
                  <wp:docPr id="43" name="Immagine 43" descr="https://upload.wikimedia.org/wikipedia/commons/thumb/6/6d/Russian_Empire_%28orthographic_projection%29.svg/541px-Russian_Empire_%28orthographic_projection%29.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upload.wikimedia.org/wikipedia/commons/thumb/6/6d/Russian_Empire_%28orthographic_projection%29.svg/541px-Russian_Empire_%28orthographic_projection%29.svg.png"/>
                          <pic:cNvPicPr>
                            <a:picLocks noChangeAspect="1" noChangeArrowheads="1"/>
                          </pic:cNvPicPr>
                        </pic:nvPicPr>
                        <pic:blipFill>
                          <a:blip r:embed="rId20" cstate="print"/>
                          <a:srcRect/>
                          <a:stretch>
                            <a:fillRect/>
                          </a:stretch>
                        </pic:blipFill>
                        <pic:spPr bwMode="auto">
                          <a:xfrm>
                            <a:off x="0" y="0"/>
                            <a:ext cx="1556412" cy="1556412"/>
                          </a:xfrm>
                          <a:prstGeom prst="rect">
                            <a:avLst/>
                          </a:prstGeom>
                          <a:noFill/>
                          <a:ln w="9525">
                            <a:noFill/>
                            <a:miter lim="800000"/>
                            <a:headEnd/>
                            <a:tailEnd/>
                          </a:ln>
                        </pic:spPr>
                      </pic:pic>
                    </a:graphicData>
                  </a:graphic>
                </wp:inline>
              </w:drawing>
            </w:r>
          </w:p>
          <w:p w:rsidR="0036439D" w:rsidRDefault="0036439D" w:rsidP="000B2651">
            <w:pPr>
              <w:jc w:val="both"/>
              <w:rPr>
                <w:sz w:val="28"/>
              </w:rPr>
            </w:pPr>
            <w:r>
              <w:rPr>
                <w:sz w:val="28"/>
              </w:rPr>
              <w:t>Zemstva erano assemblee locali elette da tre curie: proprietari terrieri, comunità di villaggio (volost’) e popolazione urbana. Si riunivano una volta all’anno e votavano comitati esecutivi. La novità era che si formavano organismi elettivi e collegiali, la cui prassi di autogoverno si contrapponeva alla burocrazia centralizzata, organizzati secondo il principio di intercetualità. Però permanevano elementi “arcaici”: la nobiltà dirigeva anche gli zemstva (la presidenza ara tenuta dai marescialli della nobiltà). Per non causare un decentramento del potere, la burocrazia centrale fece in modo da equiparare gli zemstva ad associazioni privati che affiancavano la burocrazia, creando molte confusioni.</w:t>
            </w:r>
          </w:p>
          <w:p w:rsidR="0036439D" w:rsidRDefault="0036439D" w:rsidP="000B2651">
            <w:pPr>
              <w:jc w:val="both"/>
              <w:rPr>
                <w:sz w:val="28"/>
              </w:rPr>
            </w:pPr>
            <w:r>
              <w:rPr>
                <w:sz w:val="28"/>
              </w:rPr>
              <w:t>Zemstva avevano competenze di “polizia del benessere”: manutenzione di strade, prevenzione degli incendi, promozioni attività economiche, consulenze tecniche e agronomiche, istruzione elementare e sanità pubblica.</w:t>
            </w:r>
            <w:r w:rsidR="001D18B5">
              <w:rPr>
                <w:sz w:val="28"/>
              </w:rPr>
              <w:t xml:space="preserve"> Nell’istruzione e nella sanità pubblica i risultati furono eccellenti perché il budget era limitato (nel 1867 fu proibito tassarsi per finanziarsi e 1879 al governatore provinciale furono attribuiti potere di supervisione).</w:t>
            </w:r>
          </w:p>
          <w:p w:rsidR="001D18B5" w:rsidRPr="005F3CF1" w:rsidRDefault="001D18B5" w:rsidP="000B2651">
            <w:pPr>
              <w:jc w:val="both"/>
              <w:rPr>
                <w:b/>
                <w:sz w:val="28"/>
              </w:rPr>
            </w:pPr>
            <w:r w:rsidRPr="005F3CF1">
              <w:rPr>
                <w:b/>
                <w:sz w:val="28"/>
              </w:rPr>
              <w:t>Amministrazione urbana:</w:t>
            </w:r>
          </w:p>
          <w:p w:rsidR="000D3403" w:rsidRPr="000D3403" w:rsidRDefault="000D3403" w:rsidP="000B2651">
            <w:pPr>
              <w:jc w:val="both"/>
              <w:rPr>
                <w:sz w:val="28"/>
              </w:rPr>
            </w:pPr>
            <w:r>
              <w:rPr>
                <w:sz w:val="28"/>
              </w:rPr>
              <w:t>La riforma avvenne nel 1870 e si rinnova l’autogoverno locale. Furono istituite le Dume: consigli municipali, elette da tre classi di contribuenti</w:t>
            </w:r>
            <w:r w:rsidR="00653050">
              <w:rPr>
                <w:sz w:val="28"/>
              </w:rPr>
              <w:t>. Le Dume (consigli municipali) formavano un Comitato amministrativo: si occupavano di economia e assistenza sociale in città.</w:t>
            </w:r>
          </w:p>
          <w:p w:rsidR="001D18B5" w:rsidRDefault="005F3CF1" w:rsidP="000B2651">
            <w:pPr>
              <w:jc w:val="both"/>
              <w:rPr>
                <w:b/>
                <w:sz w:val="28"/>
              </w:rPr>
            </w:pPr>
            <w:r>
              <w:rPr>
                <w:b/>
                <w:sz w:val="28"/>
              </w:rPr>
              <w:t>Riforma giudiziaria:</w:t>
            </w:r>
          </w:p>
          <w:p w:rsidR="005F3CF1" w:rsidRDefault="005F3CF1" w:rsidP="000B2651">
            <w:pPr>
              <w:jc w:val="both"/>
              <w:rPr>
                <w:color w:val="000000" w:themeColor="text1"/>
                <w:sz w:val="28"/>
              </w:rPr>
            </w:pPr>
            <w:r>
              <w:rPr>
                <w:color w:val="000000" w:themeColor="text1"/>
                <w:sz w:val="28"/>
              </w:rPr>
              <w:t>La riforma giudiziaria avvenne nel 1864. Fu la più organica e riuscita delle riforme di Alessandro II. Prima il sistema giudiziario era farraginoso e corrotto (sentenze a porte chiuse, interferenza amministrativa, favoritismo con le classi nobiliari e draconiano contro i ceti inferiori).</w:t>
            </w:r>
          </w:p>
          <w:p w:rsidR="005F3CF1" w:rsidRDefault="005F3CF1" w:rsidP="000B2651">
            <w:pPr>
              <w:jc w:val="both"/>
              <w:rPr>
                <w:color w:val="000000" w:themeColor="text1"/>
                <w:sz w:val="28"/>
              </w:rPr>
            </w:pPr>
            <w:r>
              <w:rPr>
                <w:color w:val="000000" w:themeColor="text1"/>
                <w:sz w:val="28"/>
              </w:rPr>
              <w:lastRenderedPageBreak/>
              <w:t>Gli statuti di novembre campiarono i rapporti dei cittadini e dell’opinione pubblica con le leggi: furono poste le basi per l’affermazione dello stato di diritto in Russia. Per i reati minori furono istituiti i giudici di pace, eletti dalle assemblee distrettuali di zemstvo (singolare di zemstva). Gli altri giudici erano di nomina delle autorità ma inamovibili e ben stipendiati.</w:t>
            </w:r>
          </w:p>
          <w:p w:rsidR="005F3CF1" w:rsidRDefault="005F3CF1" w:rsidP="000B2651">
            <w:pPr>
              <w:jc w:val="both"/>
              <w:rPr>
                <w:color w:val="000000" w:themeColor="text1"/>
                <w:sz w:val="28"/>
              </w:rPr>
            </w:pPr>
            <w:r>
              <w:rPr>
                <w:color w:val="000000" w:themeColor="text1"/>
                <w:sz w:val="28"/>
              </w:rPr>
              <w:t>I processi divennero pubblici, furono introdotte le giurie per i reati gravi, si affermò l’avvocatura e l’attività forense. Le aule di tribunale divennero luoghi di arene pubbliche dove si esprimeva la libertà di espressione e si diffondeva un’educazione collettiva all’eguaglianza di diritti e doveri.</w:t>
            </w:r>
          </w:p>
          <w:p w:rsidR="005F3CF1" w:rsidRDefault="005F3CF1" w:rsidP="000B2651">
            <w:pPr>
              <w:jc w:val="both"/>
              <w:rPr>
                <w:color w:val="000000" w:themeColor="text1"/>
                <w:sz w:val="28"/>
              </w:rPr>
            </w:pPr>
            <w:r>
              <w:rPr>
                <w:noProof/>
              </w:rPr>
              <w:drawing>
                <wp:inline distT="0" distB="0" distL="0" distR="0">
                  <wp:extent cx="6055746" cy="2646345"/>
                  <wp:effectExtent l="19050" t="0" r="2154" b="0"/>
                  <wp:docPr id="46" name="Immagine 46" descr="Risultati immagini per tribun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Risultati immagini per tribunale"/>
                          <pic:cNvPicPr>
                            <a:picLocks noChangeAspect="1" noChangeArrowheads="1"/>
                          </pic:cNvPicPr>
                        </pic:nvPicPr>
                        <pic:blipFill>
                          <a:blip r:embed="rId21"/>
                          <a:srcRect/>
                          <a:stretch>
                            <a:fillRect/>
                          </a:stretch>
                        </pic:blipFill>
                        <pic:spPr bwMode="auto">
                          <a:xfrm>
                            <a:off x="0" y="0"/>
                            <a:ext cx="6067601" cy="2651526"/>
                          </a:xfrm>
                          <a:prstGeom prst="rect">
                            <a:avLst/>
                          </a:prstGeom>
                          <a:noFill/>
                          <a:ln w="9525">
                            <a:noFill/>
                            <a:miter lim="800000"/>
                            <a:headEnd/>
                            <a:tailEnd/>
                          </a:ln>
                        </pic:spPr>
                      </pic:pic>
                    </a:graphicData>
                  </a:graphic>
                </wp:inline>
              </w:drawing>
            </w:r>
          </w:p>
          <w:p w:rsidR="005F3CF1" w:rsidRDefault="005F3CF1" w:rsidP="000B2651">
            <w:pPr>
              <w:jc w:val="both"/>
              <w:rPr>
                <w:b/>
                <w:color w:val="000000" w:themeColor="text1"/>
                <w:sz w:val="28"/>
              </w:rPr>
            </w:pPr>
            <w:r>
              <w:rPr>
                <w:b/>
                <w:color w:val="000000" w:themeColor="text1"/>
                <w:sz w:val="28"/>
              </w:rPr>
              <w:t>Riforma universitaria:</w:t>
            </w:r>
          </w:p>
          <w:p w:rsidR="005F3CF1" w:rsidRDefault="005F3CF1" w:rsidP="000B2651">
            <w:pPr>
              <w:jc w:val="both"/>
              <w:rPr>
                <w:color w:val="000000" w:themeColor="text1"/>
                <w:sz w:val="28"/>
              </w:rPr>
            </w:pPr>
            <w:r>
              <w:rPr>
                <w:color w:val="000000" w:themeColor="text1"/>
                <w:sz w:val="28"/>
              </w:rPr>
              <w:t>Fu incoraggiato lo studio all’estero</w:t>
            </w:r>
            <w:r w:rsidR="004B040E">
              <w:rPr>
                <w:color w:val="000000" w:themeColor="text1"/>
                <w:sz w:val="28"/>
              </w:rPr>
              <w:t>, abolite le quote di iscrizione per i ceti ben abbienti, rinnovata la docenza.</w:t>
            </w:r>
          </w:p>
          <w:p w:rsidR="004B040E" w:rsidRDefault="004B040E" w:rsidP="000B2651">
            <w:pPr>
              <w:jc w:val="both"/>
              <w:rPr>
                <w:color w:val="000000" w:themeColor="text1"/>
                <w:sz w:val="28"/>
              </w:rPr>
            </w:pPr>
            <w:r>
              <w:rPr>
                <w:color w:val="000000" w:themeColor="text1"/>
                <w:sz w:val="28"/>
              </w:rPr>
              <w:t>Nel 1863 fu introdotto l’</w:t>
            </w:r>
            <w:r w:rsidRPr="004B040E">
              <w:rPr>
                <w:i/>
                <w:color w:val="000000" w:themeColor="text1"/>
                <w:sz w:val="28"/>
              </w:rPr>
              <w:t>Ustav</w:t>
            </w:r>
            <w:r>
              <w:rPr>
                <w:color w:val="000000" w:themeColor="text1"/>
                <w:sz w:val="28"/>
              </w:rPr>
              <w:t>(regolamento): era il riconoscimento dell’autonomia al corpo docente della gestione dell’università, aumentava i finanziamenti e ribadiva il libero accesso all’università per tutti i ceti sociali.</w:t>
            </w:r>
          </w:p>
          <w:p w:rsidR="004B040E" w:rsidRDefault="004B040E" w:rsidP="000B2651">
            <w:pPr>
              <w:jc w:val="both"/>
              <w:rPr>
                <w:b/>
                <w:color w:val="000000" w:themeColor="text1"/>
                <w:sz w:val="28"/>
              </w:rPr>
            </w:pPr>
            <w:r>
              <w:rPr>
                <w:b/>
                <w:color w:val="000000" w:themeColor="text1"/>
                <w:sz w:val="28"/>
              </w:rPr>
              <w:t>Riforma censura e stampa:</w:t>
            </w:r>
          </w:p>
          <w:p w:rsidR="004B040E" w:rsidRDefault="004B040E" w:rsidP="000B2651">
            <w:pPr>
              <w:jc w:val="both"/>
              <w:rPr>
                <w:color w:val="000000" w:themeColor="text1"/>
                <w:sz w:val="28"/>
              </w:rPr>
            </w:pPr>
            <w:r>
              <w:rPr>
                <w:color w:val="000000" w:themeColor="text1"/>
                <w:sz w:val="28"/>
              </w:rPr>
              <w:t>I regolamenti temporanei sulla stampa e censura furono promulgati nel 1865. Ma non mantennero le promesse degli anni 1858/1859. Fu eliminata la censura preventiva ma l’editore era considerato responsabile penalmente per le pubblicazioni</w:t>
            </w:r>
            <w:r w:rsidR="00112CFF">
              <w:rPr>
                <w:color w:val="000000" w:themeColor="text1"/>
                <w:sz w:val="28"/>
              </w:rPr>
              <w:t>.</w:t>
            </w:r>
          </w:p>
          <w:p w:rsidR="004B040E" w:rsidRDefault="004B040E" w:rsidP="000B2651">
            <w:pPr>
              <w:jc w:val="both"/>
              <w:rPr>
                <w:b/>
                <w:color w:val="000000" w:themeColor="text1"/>
                <w:sz w:val="28"/>
              </w:rPr>
            </w:pPr>
            <w:r>
              <w:rPr>
                <w:b/>
                <w:color w:val="000000" w:themeColor="text1"/>
                <w:sz w:val="28"/>
              </w:rPr>
              <w:lastRenderedPageBreak/>
              <w:t>Riforma militare dell’esercito:</w:t>
            </w:r>
          </w:p>
          <w:p w:rsidR="004B040E" w:rsidRDefault="004B040E" w:rsidP="000B2651">
            <w:pPr>
              <w:jc w:val="both"/>
              <w:rPr>
                <w:color w:val="000000" w:themeColor="text1"/>
                <w:sz w:val="28"/>
              </w:rPr>
            </w:pPr>
            <w:r w:rsidRPr="004B040E">
              <w:rPr>
                <w:color w:val="000000" w:themeColor="text1"/>
                <w:sz w:val="28"/>
              </w:rPr>
              <w:t>La rifo</w:t>
            </w:r>
            <w:r>
              <w:rPr>
                <w:color w:val="000000" w:themeColor="text1"/>
                <w:sz w:val="28"/>
              </w:rPr>
              <w:t xml:space="preserve">rma militare avvenne il 1° Gennario 1874: introduceva la coscrizione universale obbligatoria. </w:t>
            </w:r>
          </w:p>
          <w:p w:rsidR="004B040E" w:rsidRDefault="004B040E" w:rsidP="000B2651">
            <w:pPr>
              <w:jc w:val="both"/>
              <w:rPr>
                <w:color w:val="000000" w:themeColor="text1"/>
                <w:sz w:val="28"/>
              </w:rPr>
            </w:pPr>
            <w:r>
              <w:rPr>
                <w:color w:val="000000" w:themeColor="text1"/>
                <w:sz w:val="28"/>
              </w:rPr>
              <w:t>Nel 1856 Dmitrj Miljutin sosteneva che il progetto dell’abolizione del servaggio doveva costituire la premessa alla creazione di un esercito permanente in Russia. Il processo si accelerò quando l’esercito prussiano di Bismarck fece valere la propria potenza</w:t>
            </w:r>
            <w:r w:rsidR="008D0550">
              <w:rPr>
                <w:color w:val="000000" w:themeColor="text1"/>
                <w:sz w:val="28"/>
              </w:rPr>
              <w:t xml:space="preserve"> e pose la questione militare al centro delle riforme. Il memorandum di Miljutin convinse definitivamente ad accettare il provvedimento.</w:t>
            </w:r>
          </w:p>
          <w:p w:rsidR="008D0550" w:rsidRDefault="008D0550" w:rsidP="000B2651">
            <w:pPr>
              <w:jc w:val="both"/>
              <w:rPr>
                <w:color w:val="000000" w:themeColor="text1"/>
                <w:sz w:val="28"/>
              </w:rPr>
            </w:pPr>
            <w:r>
              <w:rPr>
                <w:color w:val="000000" w:themeColor="text1"/>
                <w:sz w:val="28"/>
              </w:rPr>
              <w:t>La coscrizione fu estesa tutti i maschi, a partire dai 20 anni e selezionati a sorteggio indipendente dal ceto sociale. La durata di servizio fu abbassata da 25 anni a 6 anni e fu introdotto l’obbligo di istruzione elementare per tutti i coscritti.</w:t>
            </w:r>
          </w:p>
          <w:p w:rsidR="008C4647" w:rsidRDefault="008C4647" w:rsidP="000B2651">
            <w:pPr>
              <w:jc w:val="both"/>
              <w:rPr>
                <w:color w:val="000000" w:themeColor="text1"/>
                <w:sz w:val="28"/>
              </w:rPr>
            </w:pPr>
            <w:r>
              <w:rPr>
                <w:color w:val="000000" w:themeColor="text1"/>
                <w:sz w:val="28"/>
              </w:rPr>
              <w:t>La riforma non ebbe effetti soddisfacenti: la Russia subirà una cocente sconfitta contro il Giappone nel 1905. Le categorie esentate erano troppe, le condizione di salute erano disastrose e la riserva era mal organizzata.</w:t>
            </w:r>
          </w:p>
          <w:p w:rsidR="008C4647" w:rsidRDefault="008C4647" w:rsidP="000B2651">
            <w:pPr>
              <w:jc w:val="both"/>
              <w:rPr>
                <w:color w:val="000000" w:themeColor="text1"/>
                <w:sz w:val="28"/>
              </w:rPr>
            </w:pPr>
            <w:r>
              <w:rPr>
                <w:color w:val="000000" w:themeColor="text1"/>
                <w:sz w:val="28"/>
              </w:rPr>
              <w:t>Fu importante nella creazione della figura di cittadino-soldato. Il cittadino-soldato saldava la comunità politica e l’esercito: fu il primo segnale di relazione fra politica e produzione della violenza</w:t>
            </w:r>
            <w:r w:rsidR="0036302F">
              <w:rPr>
                <w:color w:val="000000" w:themeColor="text1"/>
                <w:sz w:val="28"/>
              </w:rPr>
              <w:t>. Secondo Sanborn fu l’elemento principale per considerare la stagione di guerra totale e di violenza politica di massa in Russa durante l’inizio del Novecento</w:t>
            </w:r>
          </w:p>
          <w:p w:rsidR="008C4647" w:rsidRPr="004B040E" w:rsidRDefault="008C4647" w:rsidP="000B2651">
            <w:pPr>
              <w:jc w:val="both"/>
              <w:rPr>
                <w:color w:val="000000" w:themeColor="text1"/>
                <w:sz w:val="28"/>
              </w:rPr>
            </w:pPr>
            <w:r>
              <w:rPr>
                <w:noProof/>
              </w:rPr>
              <w:drawing>
                <wp:inline distT="0" distB="0" distL="0" distR="0">
                  <wp:extent cx="4457837" cy="2686871"/>
                  <wp:effectExtent l="19050" t="0" r="0" b="0"/>
                  <wp:docPr id="49" name="Immagine 4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magine correlata"/>
                          <pic:cNvPicPr>
                            <a:picLocks noChangeAspect="1" noChangeArrowheads="1"/>
                          </pic:cNvPicPr>
                        </pic:nvPicPr>
                        <pic:blipFill>
                          <a:blip r:embed="rId22"/>
                          <a:srcRect/>
                          <a:stretch>
                            <a:fillRect/>
                          </a:stretch>
                        </pic:blipFill>
                        <pic:spPr bwMode="auto">
                          <a:xfrm>
                            <a:off x="0" y="0"/>
                            <a:ext cx="4458422" cy="2687223"/>
                          </a:xfrm>
                          <a:prstGeom prst="rect">
                            <a:avLst/>
                          </a:prstGeom>
                          <a:noFill/>
                          <a:ln w="9525">
                            <a:noFill/>
                            <a:miter lim="800000"/>
                            <a:headEnd/>
                            <a:tailEnd/>
                          </a:ln>
                        </pic:spPr>
                      </pic:pic>
                    </a:graphicData>
                  </a:graphic>
                </wp:inline>
              </w:drawing>
            </w:r>
          </w:p>
        </w:tc>
      </w:tr>
    </w:tbl>
    <w:p w:rsidR="000B1342" w:rsidRPr="0036302F" w:rsidRDefault="0036302F" w:rsidP="000B2651">
      <w:pPr>
        <w:pStyle w:val="Titolo2"/>
        <w:jc w:val="both"/>
        <w:rPr>
          <w:sz w:val="28"/>
        </w:rPr>
      </w:pPr>
      <w:bookmarkStart w:id="4" w:name="_Toc493625429"/>
      <w:r w:rsidRPr="0036302F">
        <w:rPr>
          <w:sz w:val="28"/>
        </w:rPr>
        <w:lastRenderedPageBreak/>
        <w:t>Intelligencija, populismo, movimento rivoluzionario</w:t>
      </w:r>
      <w:bookmarkEnd w:id="4"/>
    </w:p>
    <w:p w:rsidR="0036302F" w:rsidRDefault="0036302F" w:rsidP="000B2651">
      <w:pPr>
        <w:jc w:val="both"/>
        <w:rPr>
          <w:b/>
          <w:sz w:val="28"/>
        </w:rPr>
      </w:pPr>
    </w:p>
    <w:p w:rsidR="0036302F" w:rsidRDefault="0036302F" w:rsidP="000B2651">
      <w:pPr>
        <w:jc w:val="both"/>
        <w:rPr>
          <w:b/>
          <w:sz w:val="28"/>
        </w:rPr>
      </w:pPr>
      <w:r w:rsidRPr="0036302F">
        <w:rPr>
          <w:b/>
          <w:sz w:val="28"/>
        </w:rPr>
        <w:t>Intelligencija</w:t>
      </w:r>
      <w:r>
        <w:rPr>
          <w:b/>
          <w:sz w:val="28"/>
        </w:rPr>
        <w:t>:</w:t>
      </w:r>
    </w:p>
    <w:p w:rsidR="0036302F" w:rsidRDefault="0036302F" w:rsidP="000B2651">
      <w:pPr>
        <w:jc w:val="both"/>
        <w:rPr>
          <w:sz w:val="28"/>
        </w:rPr>
      </w:pPr>
      <w:r>
        <w:rPr>
          <w:sz w:val="28"/>
        </w:rPr>
        <w:t>Il termine entrò in uso a partire dal 1860. Indicava il gruppo sociale dedito al lavoro intellettuale, che si definirà grazie alle “grandi riforme”</w:t>
      </w:r>
      <w:r w:rsidR="005266C2">
        <w:rPr>
          <w:sz w:val="28"/>
        </w:rPr>
        <w:t>. “</w:t>
      </w:r>
      <w:r w:rsidR="005266C2" w:rsidRPr="005266C2">
        <w:rPr>
          <w:i/>
          <w:sz w:val="28"/>
        </w:rPr>
        <w:t>Intelligencija</w:t>
      </w:r>
      <w:r w:rsidR="005266C2">
        <w:rPr>
          <w:sz w:val="28"/>
        </w:rPr>
        <w:t>” non può essere un ceto sociale ben definito. Inizialmente i nobili si definivano “</w:t>
      </w:r>
      <w:r w:rsidR="005266C2" w:rsidRPr="005266C2">
        <w:rPr>
          <w:i/>
          <w:sz w:val="28"/>
        </w:rPr>
        <w:t>intelligencja</w:t>
      </w:r>
      <w:r w:rsidR="005266C2">
        <w:rPr>
          <w:sz w:val="28"/>
        </w:rPr>
        <w:t>”. I “</w:t>
      </w:r>
      <w:r w:rsidR="005266C2" w:rsidRPr="005266C2">
        <w:rPr>
          <w:i/>
          <w:sz w:val="28"/>
        </w:rPr>
        <w:t>raznocincy</w:t>
      </w:r>
      <w:r w:rsidR="005266C2">
        <w:rPr>
          <w:sz w:val="28"/>
        </w:rPr>
        <w:t>”</w:t>
      </w:r>
      <w:r w:rsidR="005266C2">
        <w:rPr>
          <w:rStyle w:val="Rimandonotaapidipagina"/>
          <w:sz w:val="28"/>
        </w:rPr>
        <w:footnoteReference w:id="9"/>
      </w:r>
      <w:r w:rsidR="005266C2">
        <w:rPr>
          <w:sz w:val="28"/>
        </w:rPr>
        <w:t xml:space="preserve"> (figli di preti, piccoli funzionari e contadini) frequentano l’università e l’editoria e hanno un’occasione di ascesa sociale. Gli </w:t>
      </w:r>
      <w:r w:rsidR="005266C2">
        <w:rPr>
          <w:i/>
          <w:sz w:val="28"/>
        </w:rPr>
        <w:t>zemst</w:t>
      </w:r>
      <w:r w:rsidR="005266C2" w:rsidRPr="005266C2">
        <w:rPr>
          <w:i/>
          <w:sz w:val="28"/>
        </w:rPr>
        <w:t>va</w:t>
      </w:r>
      <w:r w:rsidR="005266C2">
        <w:rPr>
          <w:sz w:val="28"/>
        </w:rPr>
        <w:t xml:space="preserve"> sono il laboratorio di formazione dell’ “</w:t>
      </w:r>
      <w:r w:rsidR="005266C2" w:rsidRPr="005266C2">
        <w:rPr>
          <w:i/>
          <w:sz w:val="28"/>
        </w:rPr>
        <w:t>intelligencja</w:t>
      </w:r>
      <w:r w:rsidR="005266C2">
        <w:rPr>
          <w:sz w:val="28"/>
        </w:rPr>
        <w:t xml:space="preserve">”: gli </w:t>
      </w:r>
      <w:r w:rsidR="005266C2" w:rsidRPr="005266C2">
        <w:rPr>
          <w:i/>
          <w:sz w:val="28"/>
        </w:rPr>
        <w:t>zemstva</w:t>
      </w:r>
      <w:r w:rsidR="005266C2">
        <w:rPr>
          <w:i/>
          <w:sz w:val="28"/>
        </w:rPr>
        <w:t xml:space="preserve"> </w:t>
      </w:r>
      <w:r w:rsidR="005266C2">
        <w:rPr>
          <w:sz w:val="28"/>
        </w:rPr>
        <w:t>offrivano varie opportunità e lavoro (impiego per tecnici, agronomi, statistici, insegnanti: tutti detti il “terzo elemento”). Importante per la creazione dell’</w:t>
      </w:r>
      <w:r w:rsidR="005266C2" w:rsidRPr="005266C2">
        <w:rPr>
          <w:i/>
          <w:sz w:val="28"/>
        </w:rPr>
        <w:t>intelligencija</w:t>
      </w:r>
      <w:r w:rsidR="005266C2">
        <w:rPr>
          <w:i/>
          <w:sz w:val="28"/>
        </w:rPr>
        <w:t xml:space="preserve"> </w:t>
      </w:r>
      <w:r w:rsidR="005266C2">
        <w:rPr>
          <w:sz w:val="28"/>
        </w:rPr>
        <w:t>fu  l’editoria, i giornali, le riviste e la scuola.</w:t>
      </w:r>
    </w:p>
    <w:p w:rsidR="00511835" w:rsidRDefault="00511835" w:rsidP="000B2651">
      <w:pPr>
        <w:jc w:val="both"/>
        <w:rPr>
          <w:sz w:val="28"/>
        </w:rPr>
      </w:pPr>
      <w:r>
        <w:rPr>
          <w:sz w:val="28"/>
        </w:rPr>
        <w:t xml:space="preserve">Cosa accomunava tutti questi ceti? La centralità dell’offerta formativa e l’esperienza studentesca con la relativa creazione di una consapevolezza di sé e del proprio ruolo da rivolgere alla comunità. “I lavoratori del pensiero” o </w:t>
      </w:r>
      <w:r w:rsidRPr="00511835">
        <w:rPr>
          <w:i/>
          <w:sz w:val="28"/>
        </w:rPr>
        <w:t>intelligencija</w:t>
      </w:r>
      <w:r>
        <w:rPr>
          <w:i/>
          <w:sz w:val="28"/>
        </w:rPr>
        <w:t xml:space="preserve"> </w:t>
      </w:r>
      <w:r>
        <w:rPr>
          <w:sz w:val="28"/>
        </w:rPr>
        <w:t xml:space="preserve">era un gruppo distinto e “altro” dal sistema burocratico-autocratico. La condizione di sradicamento sociale-esistenziale creava le condizione di un suo “universalismo”: era la coscienza critica contro il potere e il privilegio. </w:t>
      </w:r>
    </w:p>
    <w:p w:rsidR="00511835" w:rsidRDefault="00511835" w:rsidP="000B2651">
      <w:pPr>
        <w:jc w:val="both"/>
        <w:rPr>
          <w:sz w:val="28"/>
        </w:rPr>
      </w:pPr>
      <w:r>
        <w:rPr>
          <w:sz w:val="28"/>
        </w:rPr>
        <w:t>Inoltre sentono di avere un enorme obbligo morale verso la comunità: la loro attività di critica è rivolta verso la dedizione e il lavoro per il popolo. Questo era un sentimento, inteso come un debito da saldare con coloro che si guadagnavano da vivere manualmente, insomma mettevano la propria cultura e conoscenza al servizio dell’emancipazione e del benessere sociale.</w:t>
      </w:r>
    </w:p>
    <w:p w:rsidR="00511835" w:rsidRDefault="00511835" w:rsidP="000B2651">
      <w:pPr>
        <w:jc w:val="both"/>
        <w:rPr>
          <w:sz w:val="28"/>
        </w:rPr>
      </w:pPr>
      <w:r>
        <w:rPr>
          <w:sz w:val="28"/>
        </w:rPr>
        <w:t>C’è da dire che avevano sia un orientamento rivoluzionario che liberale, progressista, democratico</w:t>
      </w:r>
      <w:r w:rsidR="004A02EC">
        <w:rPr>
          <w:sz w:val="28"/>
        </w:rPr>
        <w:t>, populista.</w:t>
      </w:r>
    </w:p>
    <w:p w:rsidR="004A02EC" w:rsidRDefault="004A02EC" w:rsidP="000B2651">
      <w:pPr>
        <w:jc w:val="both"/>
        <w:rPr>
          <w:b/>
          <w:sz w:val="28"/>
        </w:rPr>
      </w:pPr>
      <w:r>
        <w:rPr>
          <w:b/>
          <w:sz w:val="28"/>
        </w:rPr>
        <w:t>Populismo:</w:t>
      </w:r>
    </w:p>
    <w:p w:rsidR="004A02EC" w:rsidRDefault="004A02EC" w:rsidP="000B2651">
      <w:pPr>
        <w:jc w:val="both"/>
        <w:rPr>
          <w:sz w:val="28"/>
        </w:rPr>
      </w:pPr>
      <w:r>
        <w:rPr>
          <w:sz w:val="28"/>
        </w:rPr>
        <w:t xml:space="preserve">Il populismo, o </w:t>
      </w:r>
      <w:r w:rsidR="00576418">
        <w:rPr>
          <w:i/>
          <w:sz w:val="28"/>
        </w:rPr>
        <w:t>narodnicevstvo</w:t>
      </w:r>
      <w:r w:rsidR="00576418">
        <w:rPr>
          <w:sz w:val="28"/>
        </w:rPr>
        <w:t>, era il variegato orientamento di studenti e intellettuale, sviluppatosi fra il 1870/80. I suoi padri spirituali sono:</w:t>
      </w:r>
    </w:p>
    <w:p w:rsidR="00576418" w:rsidRDefault="00576418" w:rsidP="000B2651">
      <w:pPr>
        <w:pStyle w:val="Paragrafoelenco"/>
        <w:numPr>
          <w:ilvl w:val="0"/>
          <w:numId w:val="5"/>
        </w:numPr>
        <w:jc w:val="both"/>
        <w:rPr>
          <w:sz w:val="28"/>
        </w:rPr>
      </w:pPr>
      <w:r>
        <w:rPr>
          <w:sz w:val="28"/>
        </w:rPr>
        <w:t>Alleksandr Herzen</w:t>
      </w:r>
    </w:p>
    <w:p w:rsidR="00576418" w:rsidRDefault="00576418" w:rsidP="000B2651">
      <w:pPr>
        <w:pStyle w:val="Paragrafoelenco"/>
        <w:numPr>
          <w:ilvl w:val="0"/>
          <w:numId w:val="5"/>
        </w:numPr>
        <w:jc w:val="both"/>
        <w:rPr>
          <w:sz w:val="28"/>
        </w:rPr>
      </w:pPr>
      <w:r>
        <w:rPr>
          <w:sz w:val="28"/>
        </w:rPr>
        <w:lastRenderedPageBreak/>
        <w:t>Michail Bakunin</w:t>
      </w:r>
    </w:p>
    <w:p w:rsidR="00576418" w:rsidRDefault="00576418" w:rsidP="000B2651">
      <w:pPr>
        <w:pStyle w:val="Paragrafoelenco"/>
        <w:numPr>
          <w:ilvl w:val="0"/>
          <w:numId w:val="5"/>
        </w:numPr>
        <w:jc w:val="both"/>
        <w:rPr>
          <w:sz w:val="28"/>
        </w:rPr>
      </w:pPr>
      <w:r>
        <w:rPr>
          <w:sz w:val="28"/>
        </w:rPr>
        <w:t>Nikolaj Cernsevskij</w:t>
      </w:r>
    </w:p>
    <w:p w:rsidR="00576418" w:rsidRDefault="00576418" w:rsidP="000B2651">
      <w:pPr>
        <w:jc w:val="both"/>
        <w:rPr>
          <w:sz w:val="28"/>
        </w:rPr>
      </w:pPr>
      <w:r>
        <w:rPr>
          <w:noProof/>
        </w:rPr>
        <w:drawing>
          <wp:inline distT="0" distB="0" distL="0" distR="0">
            <wp:extent cx="1725400" cy="2211694"/>
            <wp:effectExtent l="19050" t="0" r="8150" b="0"/>
            <wp:docPr id="55" name="Immagine 55" descr="https://upload.wikimedia.org/wikipedia/commons/thumb/6/60/Herzen_ge.jpg/800px-Herzen_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thumb/6/60/Herzen_ge.jpg/800px-Herzen_ge.jpg"/>
                    <pic:cNvPicPr>
                      <a:picLocks noChangeAspect="1" noChangeArrowheads="1"/>
                    </pic:cNvPicPr>
                  </pic:nvPicPr>
                  <pic:blipFill>
                    <a:blip r:embed="rId23" cstate="print"/>
                    <a:srcRect/>
                    <a:stretch>
                      <a:fillRect/>
                    </a:stretch>
                  </pic:blipFill>
                  <pic:spPr bwMode="auto">
                    <a:xfrm>
                      <a:off x="0" y="0"/>
                      <a:ext cx="1726845" cy="2213546"/>
                    </a:xfrm>
                    <a:prstGeom prst="rect">
                      <a:avLst/>
                    </a:prstGeom>
                    <a:noFill/>
                    <a:ln w="9525">
                      <a:noFill/>
                      <a:miter lim="800000"/>
                      <a:headEnd/>
                      <a:tailEnd/>
                    </a:ln>
                  </pic:spPr>
                </pic:pic>
              </a:graphicData>
            </a:graphic>
          </wp:inline>
        </w:drawing>
      </w:r>
      <w:r>
        <w:rPr>
          <w:noProof/>
        </w:rPr>
        <w:drawing>
          <wp:inline distT="0" distB="0" distL="0" distR="0">
            <wp:extent cx="1656636" cy="2210463"/>
            <wp:effectExtent l="19050" t="0" r="714" b="0"/>
            <wp:docPr id="52" name="Immagine 52" descr="Risultati immagini per baku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Risultati immagini per bakunin"/>
                    <pic:cNvPicPr>
                      <a:picLocks noChangeAspect="1" noChangeArrowheads="1"/>
                    </pic:cNvPicPr>
                  </pic:nvPicPr>
                  <pic:blipFill>
                    <a:blip r:embed="rId24" cstate="print"/>
                    <a:srcRect/>
                    <a:stretch>
                      <a:fillRect/>
                    </a:stretch>
                  </pic:blipFill>
                  <pic:spPr bwMode="auto">
                    <a:xfrm>
                      <a:off x="0" y="0"/>
                      <a:ext cx="1656564" cy="2210367"/>
                    </a:xfrm>
                    <a:prstGeom prst="rect">
                      <a:avLst/>
                    </a:prstGeom>
                    <a:noFill/>
                    <a:ln w="9525">
                      <a:noFill/>
                      <a:miter lim="800000"/>
                      <a:headEnd/>
                      <a:tailEnd/>
                    </a:ln>
                  </pic:spPr>
                </pic:pic>
              </a:graphicData>
            </a:graphic>
          </wp:inline>
        </w:drawing>
      </w:r>
      <w:r>
        <w:rPr>
          <w:noProof/>
        </w:rPr>
        <w:drawing>
          <wp:inline distT="0" distB="0" distL="0" distR="0">
            <wp:extent cx="2013759" cy="2210463"/>
            <wp:effectExtent l="19050" t="0" r="5541" b="0"/>
            <wp:docPr id="58" name="Immagine 58" descr="Risultati immagini per cernysev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Risultati immagini per cernysevskij"/>
                    <pic:cNvPicPr>
                      <a:picLocks noChangeAspect="1" noChangeArrowheads="1"/>
                    </pic:cNvPicPr>
                  </pic:nvPicPr>
                  <pic:blipFill>
                    <a:blip r:embed="rId25"/>
                    <a:srcRect/>
                    <a:stretch>
                      <a:fillRect/>
                    </a:stretch>
                  </pic:blipFill>
                  <pic:spPr bwMode="auto">
                    <a:xfrm>
                      <a:off x="0" y="0"/>
                      <a:ext cx="2013622" cy="2210313"/>
                    </a:xfrm>
                    <a:prstGeom prst="rect">
                      <a:avLst/>
                    </a:prstGeom>
                    <a:noFill/>
                    <a:ln w="9525">
                      <a:noFill/>
                      <a:miter lim="800000"/>
                      <a:headEnd/>
                      <a:tailEnd/>
                    </a:ln>
                  </pic:spPr>
                </pic:pic>
              </a:graphicData>
            </a:graphic>
          </wp:inline>
        </w:drawing>
      </w:r>
    </w:p>
    <w:p w:rsidR="00576418" w:rsidRDefault="00576418" w:rsidP="000B2651">
      <w:pPr>
        <w:jc w:val="both"/>
        <w:rPr>
          <w:sz w:val="28"/>
        </w:rPr>
      </w:pPr>
      <w:r>
        <w:rPr>
          <w:sz w:val="28"/>
        </w:rPr>
        <w:t>Era il socialismo agrario, che individuava nell’obscina</w:t>
      </w:r>
      <w:r>
        <w:rPr>
          <w:rStyle w:val="Rimandonotaapidipagina"/>
          <w:sz w:val="28"/>
        </w:rPr>
        <w:footnoteReference w:id="10"/>
      </w:r>
      <w:r>
        <w:rPr>
          <w:sz w:val="28"/>
        </w:rPr>
        <w:t xml:space="preserve"> o comunità contadina la sua espressione più autentica in opposizione alla visione “statalista”. Inoltre sostenva principi di eguaglianza e solidarietà: era la “via russa al socialismo”. Era molto critica nei confronti del “feroce” capitalismo, contro i suoi costi di gestioni, contro il progresso industriale, contro l’occidentalizzazione.</w:t>
      </w:r>
    </w:p>
    <w:p w:rsidR="00C74B63" w:rsidRDefault="00C74B63" w:rsidP="000B2651">
      <w:pPr>
        <w:jc w:val="both"/>
        <w:rPr>
          <w:sz w:val="28"/>
        </w:rPr>
      </w:pPr>
      <w:r>
        <w:rPr>
          <w:noProof/>
        </w:rPr>
        <w:drawing>
          <wp:inline distT="0" distB="0" distL="0" distR="0">
            <wp:extent cx="1622593" cy="2531365"/>
            <wp:effectExtent l="19050" t="0" r="0" b="0"/>
            <wp:docPr id="12" name="Immagine 64" descr="Risultati immagini per pyotr lavr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Risultati immagini per pyotr lavrov"/>
                    <pic:cNvPicPr>
                      <a:picLocks noChangeAspect="1" noChangeArrowheads="1"/>
                    </pic:cNvPicPr>
                  </pic:nvPicPr>
                  <pic:blipFill>
                    <a:blip r:embed="rId26"/>
                    <a:srcRect/>
                    <a:stretch>
                      <a:fillRect/>
                    </a:stretch>
                  </pic:blipFill>
                  <pic:spPr bwMode="auto">
                    <a:xfrm>
                      <a:off x="0" y="0"/>
                      <a:ext cx="1625754" cy="2536297"/>
                    </a:xfrm>
                    <a:prstGeom prst="rect">
                      <a:avLst/>
                    </a:prstGeom>
                    <a:noFill/>
                    <a:ln w="9525">
                      <a:noFill/>
                      <a:miter lim="800000"/>
                      <a:headEnd/>
                      <a:tailEnd/>
                    </a:ln>
                  </pic:spPr>
                </pic:pic>
              </a:graphicData>
            </a:graphic>
          </wp:inline>
        </w:drawing>
      </w:r>
      <w:r>
        <w:rPr>
          <w:noProof/>
        </w:rPr>
        <w:drawing>
          <wp:inline distT="0" distB="0" distL="0" distR="0">
            <wp:extent cx="1900555" cy="2536190"/>
            <wp:effectExtent l="19050" t="0" r="4445" b="0"/>
            <wp:docPr id="61" name="Immagine 61" descr="Risultati immagini per mikhailovsky nikol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Risultati immagini per mikhailovsky nikolai"/>
                    <pic:cNvPicPr>
                      <a:picLocks noChangeAspect="1" noChangeArrowheads="1"/>
                    </pic:cNvPicPr>
                  </pic:nvPicPr>
                  <pic:blipFill>
                    <a:blip r:embed="rId27"/>
                    <a:srcRect/>
                    <a:stretch>
                      <a:fillRect/>
                    </a:stretch>
                  </pic:blipFill>
                  <pic:spPr bwMode="auto">
                    <a:xfrm>
                      <a:off x="0" y="0"/>
                      <a:ext cx="1900555" cy="2536190"/>
                    </a:xfrm>
                    <a:prstGeom prst="rect">
                      <a:avLst/>
                    </a:prstGeom>
                    <a:noFill/>
                    <a:ln w="9525">
                      <a:noFill/>
                      <a:miter lim="800000"/>
                      <a:headEnd/>
                      <a:tailEnd/>
                    </a:ln>
                  </pic:spPr>
                </pic:pic>
              </a:graphicData>
            </a:graphic>
          </wp:inline>
        </w:drawing>
      </w:r>
    </w:p>
    <w:p w:rsidR="00C74B63" w:rsidRDefault="00C74B63" w:rsidP="000B2651">
      <w:pPr>
        <w:jc w:val="both"/>
        <w:rPr>
          <w:sz w:val="28"/>
        </w:rPr>
      </w:pPr>
      <w:r>
        <w:rPr>
          <w:sz w:val="28"/>
        </w:rPr>
        <w:t xml:space="preserve">Altri testi cardine sono </w:t>
      </w:r>
      <w:r>
        <w:rPr>
          <w:i/>
          <w:sz w:val="28"/>
        </w:rPr>
        <w:t xml:space="preserve">Le Lettere storiche </w:t>
      </w:r>
      <w:r>
        <w:rPr>
          <w:sz w:val="28"/>
        </w:rPr>
        <w:t xml:space="preserve">di Petr Lavrov e </w:t>
      </w:r>
      <w:r>
        <w:rPr>
          <w:i/>
          <w:sz w:val="28"/>
        </w:rPr>
        <w:t xml:space="preserve">Che cos’è il progresso? </w:t>
      </w:r>
      <w:r>
        <w:rPr>
          <w:sz w:val="28"/>
        </w:rPr>
        <w:t>di Nikolaji Michailovskij.</w:t>
      </w:r>
    </w:p>
    <w:p w:rsidR="00C74B63" w:rsidRDefault="00C74B63" w:rsidP="000B2651">
      <w:pPr>
        <w:jc w:val="both"/>
        <w:rPr>
          <w:b/>
          <w:sz w:val="28"/>
        </w:rPr>
      </w:pPr>
      <w:r>
        <w:rPr>
          <w:b/>
          <w:sz w:val="28"/>
        </w:rPr>
        <w:t>Movimento rivoluzionario:</w:t>
      </w:r>
    </w:p>
    <w:p w:rsidR="00C74B63" w:rsidRDefault="00C74B63" w:rsidP="000B2651">
      <w:pPr>
        <w:jc w:val="both"/>
        <w:rPr>
          <w:sz w:val="28"/>
        </w:rPr>
      </w:pPr>
      <w:r>
        <w:rPr>
          <w:sz w:val="28"/>
        </w:rPr>
        <w:lastRenderedPageBreak/>
        <w:t>Il populismo ispirò il movimento rivoluzionario. Varie furono le fasi:</w:t>
      </w:r>
    </w:p>
    <w:tbl>
      <w:tblPr>
        <w:tblStyle w:val="Grigliatabella"/>
        <w:tblW w:w="0" w:type="auto"/>
        <w:tblLook w:val="04A0"/>
      </w:tblPr>
      <w:tblGrid>
        <w:gridCol w:w="9778"/>
      </w:tblGrid>
      <w:tr w:rsidR="00C74B63" w:rsidTr="00C74B63">
        <w:tc>
          <w:tcPr>
            <w:tcW w:w="9778" w:type="dxa"/>
          </w:tcPr>
          <w:p w:rsidR="00C74B63" w:rsidRDefault="00C74B63" w:rsidP="000B2651">
            <w:pPr>
              <w:jc w:val="both"/>
              <w:rPr>
                <w:sz w:val="28"/>
              </w:rPr>
            </w:pPr>
            <w:r>
              <w:rPr>
                <w:sz w:val="28"/>
              </w:rPr>
              <w:t xml:space="preserve">Anni 1860: </w:t>
            </w:r>
          </w:p>
          <w:p w:rsidR="00C74B63" w:rsidRDefault="00C74B63" w:rsidP="000B2651">
            <w:pPr>
              <w:jc w:val="both"/>
              <w:rPr>
                <w:i/>
                <w:sz w:val="28"/>
              </w:rPr>
            </w:pPr>
            <w:r>
              <w:rPr>
                <w:sz w:val="28"/>
              </w:rPr>
              <w:t xml:space="preserve">Attività cospiratoria e violenza terroristica per innescare la rivoluzione. A Mosca si formò il circolo di Nikolaj Isutin. A San Pietroburgo si formò il circolo di Sergej Necaev, autore di </w:t>
            </w:r>
            <w:r>
              <w:rPr>
                <w:i/>
                <w:sz w:val="28"/>
              </w:rPr>
              <w:t>Catechismo di un rivoluzionario.</w:t>
            </w:r>
          </w:p>
          <w:p w:rsidR="00C74B63" w:rsidRPr="00C74B63" w:rsidRDefault="00C74B63" w:rsidP="000B2651">
            <w:pPr>
              <w:jc w:val="both"/>
              <w:rPr>
                <w:i/>
                <w:sz w:val="28"/>
              </w:rPr>
            </w:pPr>
            <w:r>
              <w:rPr>
                <w:noProof/>
              </w:rPr>
              <w:drawing>
                <wp:inline distT="0" distB="0" distL="0" distR="0">
                  <wp:extent cx="1149791" cy="1626721"/>
                  <wp:effectExtent l="19050" t="0" r="0" b="0"/>
                  <wp:docPr id="67" name="Immagine 67" descr="Risultati immagini per Isutin nikola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Risultati immagini per Isutin nikolaj"/>
                          <pic:cNvPicPr>
                            <a:picLocks noChangeAspect="1" noChangeArrowheads="1"/>
                          </pic:cNvPicPr>
                        </pic:nvPicPr>
                        <pic:blipFill>
                          <a:blip r:embed="rId28"/>
                          <a:srcRect/>
                          <a:stretch>
                            <a:fillRect/>
                          </a:stretch>
                        </pic:blipFill>
                        <pic:spPr bwMode="auto">
                          <a:xfrm>
                            <a:off x="0" y="0"/>
                            <a:ext cx="1149857" cy="1626815"/>
                          </a:xfrm>
                          <a:prstGeom prst="rect">
                            <a:avLst/>
                          </a:prstGeom>
                          <a:noFill/>
                          <a:ln w="9525">
                            <a:noFill/>
                            <a:miter lim="800000"/>
                            <a:headEnd/>
                            <a:tailEnd/>
                          </a:ln>
                        </pic:spPr>
                      </pic:pic>
                    </a:graphicData>
                  </a:graphic>
                </wp:inline>
              </w:drawing>
            </w:r>
            <w:r>
              <w:rPr>
                <w:noProof/>
              </w:rPr>
              <w:drawing>
                <wp:inline distT="0" distB="0" distL="0" distR="0">
                  <wp:extent cx="1173803" cy="1617961"/>
                  <wp:effectExtent l="19050" t="0" r="7297" b="0"/>
                  <wp:docPr id="70" name="Immagine 70" descr="Risultati immagini per sergej necae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Risultati immagini per sergej necaev"/>
                          <pic:cNvPicPr>
                            <a:picLocks noChangeAspect="1" noChangeArrowheads="1"/>
                          </pic:cNvPicPr>
                        </pic:nvPicPr>
                        <pic:blipFill>
                          <a:blip r:embed="rId29"/>
                          <a:srcRect/>
                          <a:stretch>
                            <a:fillRect/>
                          </a:stretch>
                        </pic:blipFill>
                        <pic:spPr bwMode="auto">
                          <a:xfrm>
                            <a:off x="0" y="0"/>
                            <a:ext cx="1176552" cy="1621751"/>
                          </a:xfrm>
                          <a:prstGeom prst="rect">
                            <a:avLst/>
                          </a:prstGeom>
                          <a:noFill/>
                          <a:ln w="9525">
                            <a:noFill/>
                            <a:miter lim="800000"/>
                            <a:headEnd/>
                            <a:tailEnd/>
                          </a:ln>
                        </pic:spPr>
                      </pic:pic>
                    </a:graphicData>
                  </a:graphic>
                </wp:inline>
              </w:drawing>
            </w:r>
          </w:p>
        </w:tc>
      </w:tr>
      <w:tr w:rsidR="00C74B63" w:rsidTr="00C74B63">
        <w:tc>
          <w:tcPr>
            <w:tcW w:w="9778" w:type="dxa"/>
          </w:tcPr>
          <w:p w:rsidR="00C74B63" w:rsidRDefault="00C74B63" w:rsidP="000B2651">
            <w:pPr>
              <w:jc w:val="both"/>
              <w:rPr>
                <w:sz w:val="28"/>
              </w:rPr>
            </w:pPr>
            <w:r>
              <w:rPr>
                <w:sz w:val="28"/>
              </w:rPr>
              <w:t xml:space="preserve">Anni 1870:  </w:t>
            </w:r>
          </w:p>
          <w:p w:rsidR="00C74B63" w:rsidRDefault="00C74B63" w:rsidP="000B2651">
            <w:pPr>
              <w:jc w:val="both"/>
              <w:rPr>
                <w:sz w:val="28"/>
              </w:rPr>
            </w:pPr>
            <w:r>
              <w:rPr>
                <w:sz w:val="28"/>
              </w:rPr>
              <w:t>Formazione del gruppo Caijkovskij, a cui si unì anche Mark Natanson. Subì la lezione di Lavrov e adottò metodi gradualisti (propaganda, diffusione libri, istruzione ed educazione al popolo).</w:t>
            </w:r>
          </w:p>
          <w:p w:rsidR="00C74B63" w:rsidRDefault="00C74B63" w:rsidP="000B2651">
            <w:pPr>
              <w:jc w:val="both"/>
              <w:rPr>
                <w:sz w:val="28"/>
              </w:rPr>
            </w:pPr>
            <w:r>
              <w:rPr>
                <w:sz w:val="28"/>
              </w:rPr>
              <w:t>Verso il 1873 il movimento populista fu influenzato dall’ala anarchca e rivoluzionaria di Bakunin.</w:t>
            </w:r>
            <w:r w:rsidR="00B77449">
              <w:rPr>
                <w:sz w:val="28"/>
              </w:rPr>
              <w:t xml:space="preserve"> Sofia Pervoskaja e Sergej Kravcinskij svolsero attività di agitazione fra i contadini.</w:t>
            </w:r>
          </w:p>
          <w:p w:rsidR="00B77449" w:rsidRDefault="00B77449" w:rsidP="000B2651">
            <w:pPr>
              <w:jc w:val="both"/>
              <w:rPr>
                <w:sz w:val="28"/>
              </w:rPr>
            </w:pPr>
            <w:r>
              <w:rPr>
                <w:noProof/>
              </w:rPr>
              <w:drawing>
                <wp:inline distT="0" distB="0" distL="0" distR="0">
                  <wp:extent cx="1559284" cy="2079046"/>
                  <wp:effectExtent l="19050" t="0" r="2816" b="0"/>
                  <wp:docPr id="73" name="Immagine 73" descr="Risultati immagini per . Sofia Perovskay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Risultati immagini per . Sofia Perovskaya"/>
                          <pic:cNvPicPr>
                            <a:picLocks noChangeAspect="1" noChangeArrowheads="1"/>
                          </pic:cNvPicPr>
                        </pic:nvPicPr>
                        <pic:blipFill>
                          <a:blip r:embed="rId30"/>
                          <a:srcRect/>
                          <a:stretch>
                            <a:fillRect/>
                          </a:stretch>
                        </pic:blipFill>
                        <pic:spPr bwMode="auto">
                          <a:xfrm>
                            <a:off x="0" y="0"/>
                            <a:ext cx="1561749" cy="2082332"/>
                          </a:xfrm>
                          <a:prstGeom prst="rect">
                            <a:avLst/>
                          </a:prstGeom>
                          <a:noFill/>
                          <a:ln w="9525">
                            <a:noFill/>
                            <a:miter lim="800000"/>
                            <a:headEnd/>
                            <a:tailEnd/>
                          </a:ln>
                        </pic:spPr>
                      </pic:pic>
                    </a:graphicData>
                  </a:graphic>
                </wp:inline>
              </w:drawing>
            </w:r>
            <w:r>
              <w:rPr>
                <w:noProof/>
              </w:rPr>
              <w:drawing>
                <wp:inline distT="0" distB="0" distL="0" distR="0">
                  <wp:extent cx="1658409" cy="2079281"/>
                  <wp:effectExtent l="19050" t="0" r="0" b="0"/>
                  <wp:docPr id="76" name="Immagine 76" descr="Risultati immagini per sergej kravcin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Risultati immagini per sergej kravcinskij"/>
                          <pic:cNvPicPr>
                            <a:picLocks noChangeAspect="1" noChangeArrowheads="1"/>
                          </pic:cNvPicPr>
                        </pic:nvPicPr>
                        <pic:blipFill>
                          <a:blip r:embed="rId31"/>
                          <a:srcRect/>
                          <a:stretch>
                            <a:fillRect/>
                          </a:stretch>
                        </pic:blipFill>
                        <pic:spPr bwMode="auto">
                          <a:xfrm>
                            <a:off x="0" y="0"/>
                            <a:ext cx="1661030" cy="2082568"/>
                          </a:xfrm>
                          <a:prstGeom prst="rect">
                            <a:avLst/>
                          </a:prstGeom>
                          <a:noFill/>
                          <a:ln w="9525">
                            <a:noFill/>
                            <a:miter lim="800000"/>
                            <a:headEnd/>
                            <a:tailEnd/>
                          </a:ln>
                        </pic:spPr>
                      </pic:pic>
                    </a:graphicData>
                  </a:graphic>
                </wp:inline>
              </w:drawing>
            </w:r>
          </w:p>
          <w:p w:rsidR="00482D62" w:rsidRDefault="00B77449" w:rsidP="000B2651">
            <w:pPr>
              <w:jc w:val="both"/>
              <w:rPr>
                <w:sz w:val="28"/>
              </w:rPr>
            </w:pPr>
            <w:r>
              <w:rPr>
                <w:sz w:val="28"/>
              </w:rPr>
              <w:t>Nell’estate del 1874 vi fu la stagione dell’ “andata al popolo”: gruppi di intellettuali e studenti andarono verso le campagne, nell’intento di mettere le proprie competenze al servizio dei contadini e di sollecitarli alla rivoluzione. Avevano un’ingenua fede nello spontaneismo rivoluzionario contadino, ma i contadini rimasero indifferenti e addirittura ostili</w:t>
            </w:r>
            <w:r w:rsidR="00482D62">
              <w:rPr>
                <w:sz w:val="28"/>
              </w:rPr>
              <w:t>. Molti rivoluzionari furono segnalati, arrestati o repressi.</w:t>
            </w:r>
          </w:p>
        </w:tc>
      </w:tr>
      <w:tr w:rsidR="00482D62" w:rsidTr="00C74B63">
        <w:tc>
          <w:tcPr>
            <w:tcW w:w="9778" w:type="dxa"/>
          </w:tcPr>
          <w:p w:rsidR="00482D62" w:rsidRDefault="00482D62" w:rsidP="000B2651">
            <w:pPr>
              <w:jc w:val="both"/>
              <w:rPr>
                <w:sz w:val="28"/>
              </w:rPr>
            </w:pPr>
            <w:r>
              <w:rPr>
                <w:sz w:val="28"/>
              </w:rPr>
              <w:t>Fine anni 1870:</w:t>
            </w:r>
          </w:p>
          <w:p w:rsidR="00482D62" w:rsidRDefault="00482D62" w:rsidP="000B2651">
            <w:pPr>
              <w:jc w:val="both"/>
              <w:rPr>
                <w:sz w:val="28"/>
              </w:rPr>
            </w:pPr>
            <w:r>
              <w:rPr>
                <w:sz w:val="28"/>
              </w:rPr>
              <w:t>Nel 1877 vi furono i processi di massa: “il processo dei 50” e “il processo dei 193”.</w:t>
            </w:r>
          </w:p>
          <w:p w:rsidR="00482D62" w:rsidRDefault="00482D62" w:rsidP="000B2651">
            <w:pPr>
              <w:jc w:val="both"/>
              <w:rPr>
                <w:sz w:val="28"/>
              </w:rPr>
            </w:pPr>
            <w:r>
              <w:rPr>
                <w:sz w:val="28"/>
              </w:rPr>
              <w:t xml:space="preserve">Ne l1876 fu fondata </w:t>
            </w:r>
            <w:r>
              <w:rPr>
                <w:i/>
                <w:sz w:val="28"/>
              </w:rPr>
              <w:t>Zemlja i volja</w:t>
            </w:r>
            <w:r>
              <w:rPr>
                <w:sz w:val="28"/>
              </w:rPr>
              <w:t xml:space="preserve"> (Terra e libertà)</w:t>
            </w:r>
            <w:r w:rsidR="002C135A">
              <w:rPr>
                <w:sz w:val="28"/>
              </w:rPr>
              <w:t xml:space="preserve"> era una cellula terroristica, cospiratoria e agiva nelle campagne. Uccise nel Gennario e nel Marzo del 1878 due </w:t>
            </w:r>
            <w:r w:rsidR="002C135A">
              <w:rPr>
                <w:sz w:val="28"/>
              </w:rPr>
              <w:lastRenderedPageBreak/>
              <w:t>alti funzionari dello stato. Ma il gruppo si scisse in due ale:</w:t>
            </w:r>
          </w:p>
          <w:p w:rsidR="002C135A" w:rsidRDefault="002C135A" w:rsidP="000B2651">
            <w:pPr>
              <w:pStyle w:val="Paragrafoelenco"/>
              <w:numPr>
                <w:ilvl w:val="0"/>
                <w:numId w:val="6"/>
              </w:numPr>
              <w:jc w:val="both"/>
              <w:rPr>
                <w:sz w:val="28"/>
              </w:rPr>
            </w:pPr>
            <w:r>
              <w:rPr>
                <w:sz w:val="28"/>
              </w:rPr>
              <w:t>Cernyi peredel (La ripartizione nera) si opponeva alla violenza</w:t>
            </w:r>
          </w:p>
          <w:p w:rsidR="002C135A" w:rsidRDefault="002C135A" w:rsidP="000B2651">
            <w:pPr>
              <w:pStyle w:val="Paragrafoelenco"/>
              <w:numPr>
                <w:ilvl w:val="0"/>
                <w:numId w:val="6"/>
              </w:numPr>
              <w:jc w:val="both"/>
              <w:rPr>
                <w:sz w:val="28"/>
              </w:rPr>
            </w:pPr>
            <w:r>
              <w:rPr>
                <w:sz w:val="28"/>
              </w:rPr>
              <w:t>Narodnaja volja (La volontà del popolo) ricorreva alla violenza</w:t>
            </w:r>
          </w:p>
          <w:p w:rsidR="002C135A" w:rsidRDefault="002C135A" w:rsidP="000B2651">
            <w:pPr>
              <w:jc w:val="both"/>
              <w:rPr>
                <w:sz w:val="28"/>
              </w:rPr>
            </w:pPr>
            <w:r>
              <w:rPr>
                <w:noProof/>
              </w:rPr>
              <w:drawing>
                <wp:inline distT="0" distB="0" distL="0" distR="0">
                  <wp:extent cx="1817701" cy="1232452"/>
                  <wp:effectExtent l="19050" t="0" r="0" b="0"/>
                  <wp:docPr id="79" name="Immagine 79" descr="Risultati immagini per narodnaja vol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Risultati immagini per narodnaja volja"/>
                          <pic:cNvPicPr>
                            <a:picLocks noChangeAspect="1" noChangeArrowheads="1"/>
                          </pic:cNvPicPr>
                        </pic:nvPicPr>
                        <pic:blipFill>
                          <a:blip r:embed="rId32"/>
                          <a:srcRect/>
                          <a:stretch>
                            <a:fillRect/>
                          </a:stretch>
                        </pic:blipFill>
                        <pic:spPr bwMode="auto">
                          <a:xfrm>
                            <a:off x="0" y="0"/>
                            <a:ext cx="1820545" cy="1234380"/>
                          </a:xfrm>
                          <a:prstGeom prst="rect">
                            <a:avLst/>
                          </a:prstGeom>
                          <a:noFill/>
                          <a:ln w="9525">
                            <a:noFill/>
                            <a:miter lim="800000"/>
                            <a:headEnd/>
                            <a:tailEnd/>
                          </a:ln>
                        </pic:spPr>
                      </pic:pic>
                    </a:graphicData>
                  </a:graphic>
                </wp:inline>
              </w:drawing>
            </w:r>
            <w:r>
              <w:rPr>
                <w:noProof/>
              </w:rPr>
              <w:drawing>
                <wp:inline distT="0" distB="0" distL="0" distR="0">
                  <wp:extent cx="2937399" cy="1231332"/>
                  <wp:effectExtent l="19050" t="0" r="0" b="0"/>
                  <wp:docPr id="82" name="Immagine 82" descr="Risultati immagini per alessandro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Risultati immagini per alessandro II"/>
                          <pic:cNvPicPr>
                            <a:picLocks noChangeAspect="1" noChangeArrowheads="1"/>
                          </pic:cNvPicPr>
                        </pic:nvPicPr>
                        <pic:blipFill>
                          <a:blip r:embed="rId33"/>
                          <a:srcRect/>
                          <a:stretch>
                            <a:fillRect/>
                          </a:stretch>
                        </pic:blipFill>
                        <pic:spPr bwMode="auto">
                          <a:xfrm>
                            <a:off x="0" y="0"/>
                            <a:ext cx="2950553" cy="1236846"/>
                          </a:xfrm>
                          <a:prstGeom prst="rect">
                            <a:avLst/>
                          </a:prstGeom>
                          <a:noFill/>
                          <a:ln w="9525">
                            <a:noFill/>
                            <a:miter lim="800000"/>
                            <a:headEnd/>
                            <a:tailEnd/>
                          </a:ln>
                        </pic:spPr>
                      </pic:pic>
                    </a:graphicData>
                  </a:graphic>
                </wp:inline>
              </w:drawing>
            </w:r>
            <w:r>
              <w:rPr>
                <w:noProof/>
              </w:rPr>
              <w:drawing>
                <wp:inline distT="0" distB="0" distL="0" distR="0">
                  <wp:extent cx="951009" cy="1236744"/>
                  <wp:effectExtent l="19050" t="0" r="1491" b="0"/>
                  <wp:docPr id="85" name="Immagine 85" descr="Risultati immagini per zeljab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Risultati immagini per zeljabov"/>
                          <pic:cNvPicPr>
                            <a:picLocks noChangeAspect="1" noChangeArrowheads="1"/>
                          </pic:cNvPicPr>
                        </pic:nvPicPr>
                        <pic:blipFill>
                          <a:blip r:embed="rId34"/>
                          <a:srcRect/>
                          <a:stretch>
                            <a:fillRect/>
                          </a:stretch>
                        </pic:blipFill>
                        <pic:spPr bwMode="auto">
                          <a:xfrm>
                            <a:off x="0" y="0"/>
                            <a:ext cx="953917" cy="1240526"/>
                          </a:xfrm>
                          <a:prstGeom prst="rect">
                            <a:avLst/>
                          </a:prstGeom>
                          <a:noFill/>
                          <a:ln w="9525">
                            <a:noFill/>
                            <a:miter lim="800000"/>
                            <a:headEnd/>
                            <a:tailEnd/>
                          </a:ln>
                        </pic:spPr>
                      </pic:pic>
                    </a:graphicData>
                  </a:graphic>
                </wp:inline>
              </w:drawing>
            </w:r>
          </w:p>
          <w:p w:rsidR="002C135A" w:rsidRPr="002C135A" w:rsidRDefault="002C135A" w:rsidP="000B2651">
            <w:pPr>
              <w:jc w:val="both"/>
              <w:rPr>
                <w:sz w:val="28"/>
              </w:rPr>
            </w:pPr>
            <w:r>
              <w:rPr>
                <w:sz w:val="28"/>
              </w:rPr>
              <w:t>Narodnaja volja fu protagonista dell’assalto terroristico al potere autocratico del 1879-81. Il 13 Marzo 1881 Alessandro II fu vittima dell’attentato compiuto da Andrej Zeljabov, Pervoskaja e altri.</w:t>
            </w:r>
          </w:p>
        </w:tc>
      </w:tr>
    </w:tbl>
    <w:p w:rsidR="00C74B63" w:rsidRDefault="00C74B63" w:rsidP="000B2651">
      <w:pPr>
        <w:jc w:val="both"/>
        <w:rPr>
          <w:sz w:val="28"/>
        </w:rPr>
      </w:pPr>
    </w:p>
    <w:p w:rsidR="002C135A" w:rsidRDefault="002C135A" w:rsidP="000B2651">
      <w:pPr>
        <w:pStyle w:val="Titolo2"/>
        <w:jc w:val="both"/>
        <w:rPr>
          <w:color w:val="002060"/>
          <w:sz w:val="28"/>
        </w:rPr>
      </w:pPr>
      <w:bookmarkStart w:id="5" w:name="_Toc493625430"/>
      <w:r>
        <w:rPr>
          <w:color w:val="002060"/>
          <w:sz w:val="28"/>
        </w:rPr>
        <w:t>Politica delle nazionalità ed espansione imperiale</w:t>
      </w:r>
      <w:bookmarkEnd w:id="5"/>
    </w:p>
    <w:p w:rsidR="002C135A" w:rsidRDefault="002C135A" w:rsidP="000B2651">
      <w:pPr>
        <w:jc w:val="both"/>
        <w:rPr>
          <w:sz w:val="28"/>
        </w:rPr>
      </w:pPr>
      <w:r>
        <w:rPr>
          <w:sz w:val="28"/>
        </w:rPr>
        <w:t>La rivolta polacca fu repressa già nel 1830-31 (rigido controllo militare, decurta mento dell’autonomia, forte limitazione nell’istruzione, diritto e codici)</w:t>
      </w:r>
      <w:r w:rsidR="00535BB9">
        <w:rPr>
          <w:sz w:val="28"/>
        </w:rPr>
        <w:t>.</w:t>
      </w:r>
    </w:p>
    <w:p w:rsidR="00535BB9" w:rsidRDefault="00535BB9" w:rsidP="000B2651">
      <w:pPr>
        <w:jc w:val="both"/>
        <w:rPr>
          <w:sz w:val="28"/>
        </w:rPr>
      </w:pPr>
      <w:r>
        <w:rPr>
          <w:noProof/>
        </w:rPr>
        <w:drawing>
          <wp:inline distT="0" distB="0" distL="0" distR="0">
            <wp:extent cx="6120130" cy="3905543"/>
            <wp:effectExtent l="19050" t="0" r="0" b="0"/>
            <wp:docPr id="88" name="Immagine 88" descr="Risultati immagini per impero Rus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Risultati immagini per impero Russo"/>
                    <pic:cNvPicPr>
                      <a:picLocks noChangeAspect="1" noChangeArrowheads="1"/>
                    </pic:cNvPicPr>
                  </pic:nvPicPr>
                  <pic:blipFill>
                    <a:blip r:embed="rId35"/>
                    <a:srcRect/>
                    <a:stretch>
                      <a:fillRect/>
                    </a:stretch>
                  </pic:blipFill>
                  <pic:spPr bwMode="auto">
                    <a:xfrm>
                      <a:off x="0" y="0"/>
                      <a:ext cx="6120130" cy="3905543"/>
                    </a:xfrm>
                    <a:prstGeom prst="rect">
                      <a:avLst/>
                    </a:prstGeom>
                    <a:noFill/>
                    <a:ln w="9525">
                      <a:noFill/>
                      <a:miter lim="800000"/>
                      <a:headEnd/>
                      <a:tailEnd/>
                    </a:ln>
                  </pic:spPr>
                </pic:pic>
              </a:graphicData>
            </a:graphic>
          </wp:inline>
        </w:drawing>
      </w:r>
    </w:p>
    <w:p w:rsidR="002C135A" w:rsidRDefault="002C135A" w:rsidP="000B2651">
      <w:pPr>
        <w:jc w:val="both"/>
        <w:rPr>
          <w:sz w:val="28"/>
        </w:rPr>
      </w:pPr>
      <w:r>
        <w:rPr>
          <w:sz w:val="28"/>
        </w:rPr>
        <w:t>Alessandro II inaugurò una stagione di rinnovamento in Polonia</w:t>
      </w:r>
      <w:r w:rsidR="00535BB9">
        <w:rPr>
          <w:sz w:val="28"/>
        </w:rPr>
        <w:t xml:space="preserve">: pose fine al governo militare, concesse un’amnistia e ripristinò l’autonomia. Ma la rivendicazione nazionalista fu evidente con petizioni e manifestazioni di massa, </w:t>
      </w:r>
      <w:r w:rsidR="00535BB9">
        <w:rPr>
          <w:sz w:val="28"/>
        </w:rPr>
        <w:lastRenderedPageBreak/>
        <w:t>occupazioni di chiese, culminate nell’insurrezione del Gennaio 1863. La Polonia fu pacificata nel sangue nel 1864.</w:t>
      </w:r>
    </w:p>
    <w:p w:rsidR="00535BB9" w:rsidRDefault="00535BB9" w:rsidP="000B2651">
      <w:pPr>
        <w:jc w:val="both"/>
        <w:rPr>
          <w:sz w:val="28"/>
        </w:rPr>
      </w:pPr>
      <w:r>
        <w:rPr>
          <w:sz w:val="28"/>
        </w:rPr>
        <w:t>L’abolizione del servaggio fu più celere e vantaggiosa: si cercò di colpire le elites russa, rea di essere l’agitatrice della rivendicazione nazionalista. Lo zarismo russo impose una gravosa imposta fondiaria e accantonamento di ogni possibilità di autogoverno.</w:t>
      </w:r>
      <w:r w:rsidR="005E4E92">
        <w:rPr>
          <w:sz w:val="28"/>
        </w:rPr>
        <w:t xml:space="preserve"> Il Regno di Polonia fu chiamato “regione della Vistola”.</w:t>
      </w:r>
    </w:p>
    <w:p w:rsidR="005E4E92" w:rsidRDefault="005E4E92" w:rsidP="000B2651">
      <w:pPr>
        <w:jc w:val="both"/>
        <w:rPr>
          <w:sz w:val="28"/>
        </w:rPr>
      </w:pPr>
      <w:r>
        <w:rPr>
          <w:sz w:val="28"/>
        </w:rPr>
        <w:t>Si procedette alla russificazione culturale (continuata anche da Alessandro III):</w:t>
      </w:r>
    </w:p>
    <w:p w:rsidR="005E4E92" w:rsidRDefault="005E4E92" w:rsidP="000B2651">
      <w:pPr>
        <w:pStyle w:val="Paragrafoelenco"/>
        <w:numPr>
          <w:ilvl w:val="0"/>
          <w:numId w:val="7"/>
        </w:numPr>
        <w:jc w:val="both"/>
        <w:rPr>
          <w:sz w:val="28"/>
        </w:rPr>
      </w:pPr>
      <w:r>
        <w:rPr>
          <w:sz w:val="28"/>
        </w:rPr>
        <w:t>Divieto del polacco nelle scuole medie e superiori (1879)</w:t>
      </w:r>
    </w:p>
    <w:p w:rsidR="005E4E92" w:rsidRDefault="005E4E92" w:rsidP="000B2651">
      <w:pPr>
        <w:pStyle w:val="Paragrafoelenco"/>
        <w:numPr>
          <w:ilvl w:val="0"/>
          <w:numId w:val="7"/>
        </w:numPr>
        <w:jc w:val="both"/>
        <w:rPr>
          <w:sz w:val="28"/>
        </w:rPr>
      </w:pPr>
      <w:r>
        <w:rPr>
          <w:sz w:val="28"/>
        </w:rPr>
        <w:t>Introduzione del russo nella scuola elementare (1885)</w:t>
      </w:r>
    </w:p>
    <w:p w:rsidR="005E4E92" w:rsidRDefault="005E4E92" w:rsidP="000B2651">
      <w:pPr>
        <w:pStyle w:val="Paragrafoelenco"/>
        <w:numPr>
          <w:ilvl w:val="0"/>
          <w:numId w:val="7"/>
        </w:numPr>
        <w:jc w:val="both"/>
        <w:rPr>
          <w:sz w:val="28"/>
        </w:rPr>
      </w:pPr>
      <w:r>
        <w:rPr>
          <w:sz w:val="28"/>
        </w:rPr>
        <w:t>Atteggiamento repressivo nei confronti della Chiesa Cattolica</w:t>
      </w:r>
    </w:p>
    <w:p w:rsidR="005E4E92" w:rsidRDefault="005E4E92" w:rsidP="000B2651">
      <w:pPr>
        <w:jc w:val="both"/>
        <w:rPr>
          <w:sz w:val="28"/>
        </w:rPr>
      </w:pPr>
      <w:r>
        <w:rPr>
          <w:sz w:val="28"/>
        </w:rPr>
        <w:t>Nelle regioni “nordoccidentali” (Lituania e Bielorussia) e “sudoccidentali” (Ucraina a ovest del Dnepr) fu repressa la nobiltà proprietaria polacca:</w:t>
      </w:r>
    </w:p>
    <w:p w:rsidR="005E4E92" w:rsidRDefault="005E4E92" w:rsidP="000B2651">
      <w:pPr>
        <w:pStyle w:val="Paragrafoelenco"/>
        <w:numPr>
          <w:ilvl w:val="0"/>
          <w:numId w:val="8"/>
        </w:numPr>
        <w:jc w:val="both"/>
        <w:rPr>
          <w:sz w:val="28"/>
        </w:rPr>
      </w:pPr>
      <w:r>
        <w:rPr>
          <w:sz w:val="28"/>
        </w:rPr>
        <w:t>Divieto di acquisto di terreni per i nobili polacchi e per la Chiesa Cattolica</w:t>
      </w:r>
    </w:p>
    <w:p w:rsidR="005E4E92" w:rsidRDefault="005E4E92" w:rsidP="000B2651">
      <w:pPr>
        <w:pStyle w:val="Paragrafoelenco"/>
        <w:numPr>
          <w:ilvl w:val="0"/>
          <w:numId w:val="8"/>
        </w:numPr>
        <w:jc w:val="both"/>
        <w:rPr>
          <w:sz w:val="28"/>
        </w:rPr>
      </w:pPr>
      <w:r>
        <w:rPr>
          <w:sz w:val="28"/>
        </w:rPr>
        <w:t>Divieto della lingua polacca</w:t>
      </w:r>
    </w:p>
    <w:p w:rsidR="005E4E92" w:rsidRDefault="005E4E92" w:rsidP="000B2651">
      <w:pPr>
        <w:pStyle w:val="Paragrafoelenco"/>
        <w:numPr>
          <w:ilvl w:val="0"/>
          <w:numId w:val="8"/>
        </w:numPr>
        <w:jc w:val="both"/>
        <w:rPr>
          <w:sz w:val="28"/>
        </w:rPr>
      </w:pPr>
      <w:r>
        <w:rPr>
          <w:sz w:val="28"/>
        </w:rPr>
        <w:t>Persecuzione al cattolicesimo</w:t>
      </w:r>
    </w:p>
    <w:p w:rsidR="005E4E92" w:rsidRDefault="005E4E92" w:rsidP="000B2651">
      <w:pPr>
        <w:jc w:val="both"/>
        <w:rPr>
          <w:sz w:val="28"/>
        </w:rPr>
      </w:pPr>
      <w:r>
        <w:rPr>
          <w:sz w:val="28"/>
        </w:rPr>
        <w:t>L’intento era promuovere l’egemonia russa. Il risveglio letterario e nazionalista fu inteso come sedizioso anche in queste aree. Nel 1863 Petr Valuev, ministro dell’Interno, proibì libri in ucraino, lituano e bielorusso</w:t>
      </w:r>
    </w:p>
    <w:p w:rsidR="005E4E92" w:rsidRDefault="005E4E92" w:rsidP="000B2651">
      <w:pPr>
        <w:jc w:val="both"/>
        <w:rPr>
          <w:sz w:val="28"/>
        </w:rPr>
      </w:pPr>
      <w:r>
        <w:rPr>
          <w:sz w:val="28"/>
        </w:rPr>
        <w:t>La circolare di Ems del 1876 segnava la proibizione dell’ucraino.</w:t>
      </w:r>
    </w:p>
    <w:p w:rsidR="005E4E92" w:rsidRDefault="005E4E92" w:rsidP="000B2651">
      <w:pPr>
        <w:jc w:val="both"/>
        <w:rPr>
          <w:sz w:val="28"/>
        </w:rPr>
      </w:pPr>
      <w:r>
        <w:rPr>
          <w:sz w:val="28"/>
        </w:rPr>
        <w:t>L’autocrazia attuò una politica di integrazione forzata nelle province occidentali dell’Impero:</w:t>
      </w:r>
    </w:p>
    <w:p w:rsidR="005E4E92" w:rsidRDefault="005E4E92" w:rsidP="000B2651">
      <w:pPr>
        <w:pStyle w:val="Paragrafoelenco"/>
        <w:numPr>
          <w:ilvl w:val="0"/>
          <w:numId w:val="9"/>
        </w:numPr>
        <w:jc w:val="both"/>
        <w:rPr>
          <w:sz w:val="28"/>
        </w:rPr>
      </w:pPr>
      <w:r>
        <w:rPr>
          <w:sz w:val="28"/>
        </w:rPr>
        <w:t>Alessandro III la estese all’Estonia e alla Lettonia</w:t>
      </w:r>
    </w:p>
    <w:p w:rsidR="005E4E92" w:rsidRDefault="005E4E92" w:rsidP="000B2651">
      <w:pPr>
        <w:pStyle w:val="Paragrafoelenco"/>
        <w:numPr>
          <w:ilvl w:val="0"/>
          <w:numId w:val="9"/>
        </w:numPr>
        <w:jc w:val="both"/>
        <w:rPr>
          <w:sz w:val="28"/>
        </w:rPr>
      </w:pPr>
      <w:r>
        <w:rPr>
          <w:sz w:val="28"/>
        </w:rPr>
        <w:t>Nicola II la estese alla Finlandia (autonomia garantita dallo stesso Alessandro II)</w:t>
      </w:r>
    </w:p>
    <w:p w:rsidR="005E4E92" w:rsidRDefault="005E4E92" w:rsidP="000B2651">
      <w:pPr>
        <w:jc w:val="both"/>
        <w:rPr>
          <w:sz w:val="28"/>
        </w:rPr>
      </w:pPr>
      <w:r>
        <w:rPr>
          <w:sz w:val="28"/>
        </w:rPr>
        <w:t>Ma anche in Russia vi fu un rigurgito patriottico e imperiale e nazionalista contro le aperture all’Occidente. I suoi sostenitori furono Michail Katkov e la rivista “Russkij vestnik”.</w:t>
      </w:r>
      <w:r w:rsidR="00200F54">
        <w:rPr>
          <w:sz w:val="28"/>
        </w:rPr>
        <w:t xml:space="preserve"> Il conservatorismo, il potere autocratico e la repressione in Polonia fu contestata da Francia, Inghilterra e Austria. Saltarono le trattative di un’alleanza con la Francia: la Russia rimase isolata nello scacchiere europeo, già manifestato con la guerra in Crimea.</w:t>
      </w:r>
    </w:p>
    <w:p w:rsidR="00200F54" w:rsidRPr="00200F54" w:rsidRDefault="00200F54" w:rsidP="000B2651">
      <w:pPr>
        <w:jc w:val="both"/>
        <w:rPr>
          <w:b/>
          <w:sz w:val="28"/>
        </w:rPr>
      </w:pPr>
      <w:r>
        <w:rPr>
          <w:sz w:val="28"/>
        </w:rPr>
        <w:lastRenderedPageBreak/>
        <w:t xml:space="preserve">La Russia si riavvicinò al progetto della Prussia di riunificare la Germania sotto la cancelleria di Bismarck. Ora le forze dell’impero russo si rivolgevano verso Sud e verso Est, dopo che il trattato di Parigi aveva ridimensionato il prestigio russo nell’area </w:t>
      </w:r>
      <w:r w:rsidRPr="00200F54">
        <w:rPr>
          <w:sz w:val="28"/>
        </w:rPr>
        <w:t>balcanica.</w:t>
      </w:r>
    </w:p>
    <w:p w:rsidR="00200F54" w:rsidRDefault="00200F54" w:rsidP="000B2651">
      <w:pPr>
        <w:jc w:val="both"/>
        <w:rPr>
          <w:sz w:val="28"/>
        </w:rPr>
      </w:pPr>
      <w:r w:rsidRPr="00200F54">
        <w:rPr>
          <w:b/>
          <w:sz w:val="28"/>
        </w:rPr>
        <w:t>Caucaso</w:t>
      </w:r>
      <w:r>
        <w:rPr>
          <w:sz w:val="28"/>
        </w:rPr>
        <w:t>:</w:t>
      </w:r>
    </w:p>
    <w:p w:rsidR="00200F54" w:rsidRDefault="00200F54" w:rsidP="000B2651">
      <w:pPr>
        <w:jc w:val="both"/>
        <w:rPr>
          <w:sz w:val="28"/>
        </w:rPr>
      </w:pPr>
      <w:r>
        <w:rPr>
          <w:sz w:val="28"/>
        </w:rPr>
        <w:t>La conquista russa in Caucaso era iniziata già dal 700’. La colonizzazione era molto pressante e i popoli delle montagne (ceceni e daghestani) si ribellarono, anche se erano comunità tribali erano molto combattivi. L’Impero zarista stabilì nei primi dell’Ottocento un predominio su una larga fetta della  Transcaucasia. Le popolazione montanare furono guidate da Shamil, un leggendario resistente musulmano. Dopo una resistenza di 25 anni, l’offensiva della Russia partì nel 1857. La conquista e la sconfitta di Shamil avvennero nel 1859. Si avviarono spedizioni scientifiche ed etnografiche nella zona.</w:t>
      </w:r>
    </w:p>
    <w:p w:rsidR="00200F54" w:rsidRDefault="00200F54" w:rsidP="000B2651">
      <w:pPr>
        <w:jc w:val="both"/>
        <w:rPr>
          <w:sz w:val="28"/>
        </w:rPr>
      </w:pPr>
      <w:r>
        <w:rPr>
          <w:noProof/>
        </w:rPr>
        <w:drawing>
          <wp:inline distT="0" distB="0" distL="0" distR="0">
            <wp:extent cx="1509811" cy="2242268"/>
            <wp:effectExtent l="19050" t="0" r="0" b="0"/>
            <wp:docPr id="97" name="Immagine 97" descr="Risultati immagini per sham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Risultati immagini per shamil"/>
                    <pic:cNvPicPr>
                      <a:picLocks noChangeAspect="1" noChangeArrowheads="1"/>
                    </pic:cNvPicPr>
                  </pic:nvPicPr>
                  <pic:blipFill>
                    <a:blip r:embed="rId36"/>
                    <a:srcRect/>
                    <a:stretch>
                      <a:fillRect/>
                    </a:stretch>
                  </pic:blipFill>
                  <pic:spPr bwMode="auto">
                    <a:xfrm>
                      <a:off x="0" y="0"/>
                      <a:ext cx="1509737" cy="2242158"/>
                    </a:xfrm>
                    <a:prstGeom prst="rect">
                      <a:avLst/>
                    </a:prstGeom>
                    <a:noFill/>
                    <a:ln w="9525">
                      <a:noFill/>
                      <a:miter lim="800000"/>
                      <a:headEnd/>
                      <a:tailEnd/>
                    </a:ln>
                  </pic:spPr>
                </pic:pic>
              </a:graphicData>
            </a:graphic>
          </wp:inline>
        </w:drawing>
      </w:r>
      <w:r w:rsidR="00942007">
        <w:rPr>
          <w:noProof/>
        </w:rPr>
        <w:drawing>
          <wp:inline distT="0" distB="0" distL="0" distR="0">
            <wp:extent cx="3066056" cy="2262737"/>
            <wp:effectExtent l="19050" t="0" r="994" b="0"/>
            <wp:docPr id="100" name="Immagine 100" descr="https://upload.wikimedia.org/wikipedia/commons/thumb/0/06/Caucasus03_la.png/800px-Caucasus03_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upload.wikimedia.org/wikipedia/commons/thumb/0/06/Caucasus03_la.png/800px-Caucasus03_la.png"/>
                    <pic:cNvPicPr>
                      <a:picLocks noChangeAspect="1" noChangeArrowheads="1"/>
                    </pic:cNvPicPr>
                  </pic:nvPicPr>
                  <pic:blipFill>
                    <a:blip r:embed="rId37" cstate="print"/>
                    <a:srcRect/>
                    <a:stretch>
                      <a:fillRect/>
                    </a:stretch>
                  </pic:blipFill>
                  <pic:spPr bwMode="auto">
                    <a:xfrm>
                      <a:off x="0" y="0"/>
                      <a:ext cx="3066443" cy="2263023"/>
                    </a:xfrm>
                    <a:prstGeom prst="rect">
                      <a:avLst/>
                    </a:prstGeom>
                    <a:noFill/>
                    <a:ln w="9525">
                      <a:noFill/>
                      <a:miter lim="800000"/>
                      <a:headEnd/>
                      <a:tailEnd/>
                    </a:ln>
                  </pic:spPr>
                </pic:pic>
              </a:graphicData>
            </a:graphic>
          </wp:inline>
        </w:drawing>
      </w:r>
    </w:p>
    <w:p w:rsidR="00942007" w:rsidRDefault="00942007" w:rsidP="000B2651">
      <w:pPr>
        <w:jc w:val="both"/>
        <w:rPr>
          <w:sz w:val="28"/>
        </w:rPr>
      </w:pPr>
      <w:r>
        <w:rPr>
          <w:sz w:val="28"/>
        </w:rPr>
        <w:t>Area del Kazakistan:</w:t>
      </w:r>
    </w:p>
    <w:p w:rsidR="00942007" w:rsidRDefault="00942007" w:rsidP="000B2651">
      <w:pPr>
        <w:jc w:val="both"/>
        <w:rPr>
          <w:sz w:val="28"/>
        </w:rPr>
      </w:pPr>
      <w:r>
        <w:rPr>
          <w:sz w:val="28"/>
        </w:rPr>
        <w:t>Nella prima metà dell’Ottocento l’area del Kazakistan fu occupata dall’Impero. Nel 1864 partì l’offensiva russa verso l’Asia centrale meridionale (abitate da uzbeki, tagiki, turkmeni, kara-kirghisi). La Russia era spinta dal sentimento di umiliazione in Crimea.</w:t>
      </w:r>
      <w:r w:rsidR="009B67E5">
        <w:rPr>
          <w:sz w:val="28"/>
        </w:rPr>
        <w:t xml:space="preserve"> La Russia partecipava al “</w:t>
      </w:r>
      <w:r w:rsidR="009B67E5" w:rsidRPr="009B67E5">
        <w:rPr>
          <w:i/>
          <w:sz w:val="28"/>
        </w:rPr>
        <w:t>Great game</w:t>
      </w:r>
      <w:r w:rsidR="009B67E5">
        <w:rPr>
          <w:sz w:val="28"/>
        </w:rPr>
        <w:t>” con l’Inghilterra: era la concorrenza bellica in Afghanistan, soprattutto per la battaglia dell’industria tessile.</w:t>
      </w:r>
    </w:p>
    <w:p w:rsidR="009B67E5" w:rsidRDefault="009B67E5" w:rsidP="000B2651">
      <w:pPr>
        <w:jc w:val="both"/>
        <w:rPr>
          <w:sz w:val="28"/>
        </w:rPr>
      </w:pPr>
      <w:r>
        <w:rPr>
          <w:sz w:val="28"/>
        </w:rPr>
        <w:t>Furono conquistati ikhanati di Kogand, Buchara, Chiva (erano popolazioni sedentarie musulmane). La resistenza dei nomadi turkmeni nell’area del Caspio fu efferato ma spezzata nel 1881 nell’assalto alla fortezza di Goek Tepe (qui i russi comandati da Michail Skobelev si abbandonarono a una carneficina).</w:t>
      </w:r>
    </w:p>
    <w:p w:rsidR="00942007" w:rsidRDefault="00942007" w:rsidP="000B2651">
      <w:pPr>
        <w:jc w:val="both"/>
        <w:rPr>
          <w:sz w:val="28"/>
        </w:rPr>
      </w:pPr>
      <w:r>
        <w:rPr>
          <w:noProof/>
        </w:rPr>
        <w:lastRenderedPageBreak/>
        <w:drawing>
          <wp:inline distT="0" distB="0" distL="0" distR="0">
            <wp:extent cx="3053011" cy="2502366"/>
            <wp:effectExtent l="19050" t="0" r="0" b="0"/>
            <wp:docPr id="103" name="Immagine 103" descr="File:Persia afghanistan 18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File:Persia afghanistan 1848.jpg"/>
                    <pic:cNvPicPr>
                      <a:picLocks noChangeAspect="1" noChangeArrowheads="1"/>
                    </pic:cNvPicPr>
                  </pic:nvPicPr>
                  <pic:blipFill>
                    <a:blip r:embed="rId38"/>
                    <a:srcRect/>
                    <a:stretch>
                      <a:fillRect/>
                    </a:stretch>
                  </pic:blipFill>
                  <pic:spPr bwMode="auto">
                    <a:xfrm>
                      <a:off x="0" y="0"/>
                      <a:ext cx="3055158" cy="2504126"/>
                    </a:xfrm>
                    <a:prstGeom prst="rect">
                      <a:avLst/>
                    </a:prstGeom>
                    <a:noFill/>
                    <a:ln w="9525">
                      <a:noFill/>
                      <a:miter lim="800000"/>
                      <a:headEnd/>
                      <a:tailEnd/>
                    </a:ln>
                  </pic:spPr>
                </pic:pic>
              </a:graphicData>
            </a:graphic>
          </wp:inline>
        </w:drawing>
      </w:r>
      <w:r>
        <w:rPr>
          <w:noProof/>
        </w:rPr>
        <w:drawing>
          <wp:inline distT="0" distB="0" distL="0" distR="0">
            <wp:extent cx="2779809" cy="2504661"/>
            <wp:effectExtent l="19050" t="0" r="1491" b="0"/>
            <wp:docPr id="106" name="Immagine 106" descr="File:Great Game cartoon from 18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File:Great Game cartoon from 1878.jpg"/>
                    <pic:cNvPicPr>
                      <a:picLocks noChangeAspect="1" noChangeArrowheads="1"/>
                    </pic:cNvPicPr>
                  </pic:nvPicPr>
                  <pic:blipFill>
                    <a:blip r:embed="rId39"/>
                    <a:srcRect/>
                    <a:stretch>
                      <a:fillRect/>
                    </a:stretch>
                  </pic:blipFill>
                  <pic:spPr bwMode="auto">
                    <a:xfrm>
                      <a:off x="0" y="0"/>
                      <a:ext cx="2782809" cy="2507364"/>
                    </a:xfrm>
                    <a:prstGeom prst="rect">
                      <a:avLst/>
                    </a:prstGeom>
                    <a:noFill/>
                    <a:ln w="9525">
                      <a:noFill/>
                      <a:miter lim="800000"/>
                      <a:headEnd/>
                      <a:tailEnd/>
                    </a:ln>
                  </pic:spPr>
                </pic:pic>
              </a:graphicData>
            </a:graphic>
          </wp:inline>
        </w:drawing>
      </w:r>
      <w:r w:rsidR="009B67E5">
        <w:rPr>
          <w:noProof/>
        </w:rPr>
        <w:drawing>
          <wp:inline distT="0" distB="0" distL="0" distR="0">
            <wp:extent cx="3050153" cy="2233984"/>
            <wp:effectExtent l="19050" t="0" r="0" b="0"/>
            <wp:docPr id="109" name="Immagine 109" descr="Risultati immagini per goek te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Risultati immagini per goek tepe"/>
                    <pic:cNvPicPr>
                      <a:picLocks noChangeAspect="1" noChangeArrowheads="1"/>
                    </pic:cNvPicPr>
                  </pic:nvPicPr>
                  <pic:blipFill>
                    <a:blip r:embed="rId40"/>
                    <a:srcRect/>
                    <a:stretch>
                      <a:fillRect/>
                    </a:stretch>
                  </pic:blipFill>
                  <pic:spPr bwMode="auto">
                    <a:xfrm>
                      <a:off x="0" y="0"/>
                      <a:ext cx="3050538" cy="2234266"/>
                    </a:xfrm>
                    <a:prstGeom prst="rect">
                      <a:avLst/>
                    </a:prstGeom>
                    <a:noFill/>
                    <a:ln w="9525">
                      <a:noFill/>
                      <a:miter lim="800000"/>
                      <a:headEnd/>
                      <a:tailEnd/>
                    </a:ln>
                  </pic:spPr>
                </pic:pic>
              </a:graphicData>
            </a:graphic>
          </wp:inline>
        </w:drawing>
      </w:r>
      <w:r w:rsidR="009B67E5">
        <w:rPr>
          <w:sz w:val="28"/>
        </w:rPr>
        <w:t xml:space="preserve">  </w:t>
      </w:r>
      <w:r w:rsidR="009B67E5">
        <w:rPr>
          <w:noProof/>
        </w:rPr>
        <w:drawing>
          <wp:inline distT="0" distB="0" distL="0" distR="0">
            <wp:extent cx="2382244" cy="2196928"/>
            <wp:effectExtent l="19050" t="0" r="0" b="0"/>
            <wp:docPr id="112" name="Immagine 112" descr="Risultati immagini per goek te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Risultati immagini per goek tepe"/>
                    <pic:cNvPicPr>
                      <a:picLocks noChangeAspect="1" noChangeArrowheads="1"/>
                    </pic:cNvPicPr>
                  </pic:nvPicPr>
                  <pic:blipFill>
                    <a:blip r:embed="rId41"/>
                    <a:srcRect/>
                    <a:stretch>
                      <a:fillRect/>
                    </a:stretch>
                  </pic:blipFill>
                  <pic:spPr bwMode="auto">
                    <a:xfrm>
                      <a:off x="0" y="0"/>
                      <a:ext cx="2383662" cy="2198236"/>
                    </a:xfrm>
                    <a:prstGeom prst="rect">
                      <a:avLst/>
                    </a:prstGeom>
                    <a:noFill/>
                    <a:ln w="9525">
                      <a:noFill/>
                      <a:miter lim="800000"/>
                      <a:headEnd/>
                      <a:tailEnd/>
                    </a:ln>
                  </pic:spPr>
                </pic:pic>
              </a:graphicData>
            </a:graphic>
          </wp:inline>
        </w:drawing>
      </w:r>
    </w:p>
    <w:p w:rsidR="009B67E5" w:rsidRDefault="009B67E5" w:rsidP="000B2651">
      <w:pPr>
        <w:jc w:val="both"/>
        <w:rPr>
          <w:b/>
          <w:sz w:val="28"/>
        </w:rPr>
      </w:pPr>
      <w:r>
        <w:rPr>
          <w:b/>
          <w:sz w:val="28"/>
        </w:rPr>
        <w:t>Alaska:</w:t>
      </w:r>
    </w:p>
    <w:p w:rsidR="009B67E5" w:rsidRDefault="003E119B" w:rsidP="000B2651">
      <w:pPr>
        <w:jc w:val="both"/>
        <w:rPr>
          <w:sz w:val="28"/>
        </w:rPr>
      </w:pPr>
      <w:r>
        <w:rPr>
          <w:sz w:val="28"/>
        </w:rPr>
        <w:t>L’espansione nell’estremo oriente avvenne già dal XVII secolo grazie a cacciatori, avventurieri e mercanti. All’inizio dell’Ottocento i Russi sbarcarono in Alaska, ceduta agli Stati Uniti nel 1867 per 7,1 milione di dollari.</w:t>
      </w:r>
    </w:p>
    <w:p w:rsidR="007E589F" w:rsidRDefault="003E119B" w:rsidP="000B2651">
      <w:pPr>
        <w:jc w:val="both"/>
        <w:rPr>
          <w:b/>
          <w:sz w:val="28"/>
        </w:rPr>
      </w:pPr>
      <w:r>
        <w:rPr>
          <w:b/>
          <w:sz w:val="28"/>
        </w:rPr>
        <w:t>Bacino dell’Amur</w:t>
      </w:r>
      <w:r w:rsidR="007E589F">
        <w:rPr>
          <w:b/>
          <w:sz w:val="28"/>
        </w:rPr>
        <w:t>, Isole Kurili e Isola Sachalin</w:t>
      </w:r>
    </w:p>
    <w:p w:rsidR="007E589F" w:rsidRPr="007E589F" w:rsidRDefault="007E589F" w:rsidP="000B2651">
      <w:pPr>
        <w:jc w:val="both"/>
        <w:rPr>
          <w:sz w:val="28"/>
        </w:rPr>
      </w:pPr>
      <w:r>
        <w:rPr>
          <w:sz w:val="28"/>
        </w:rPr>
        <w:t>La Cina, indebolendosi nella “guerra dell’oppio” contro Francia e Inghilterra e nella Rivolta dei Taiping, stipulò con la Russia fra il 1858 e 1860 il Trattato di Aigun e la Pace di Pechino. La sfera di influenza russa arrivava fino alle coste coreane. Inoltre la Russia cedette al Giappone le isole Kurili in cambio dell’Isola di Sachalin. Nel 1860 fu fondata Vladivostok, premessa alle future guerre russo-giapponesi.</w:t>
      </w:r>
    </w:p>
    <w:p w:rsidR="007E589F" w:rsidRDefault="007E589F" w:rsidP="000B2651">
      <w:pPr>
        <w:jc w:val="both"/>
        <w:rPr>
          <w:b/>
          <w:sz w:val="28"/>
        </w:rPr>
      </w:pPr>
      <w:r>
        <w:rPr>
          <w:noProof/>
        </w:rPr>
        <w:lastRenderedPageBreak/>
        <w:drawing>
          <wp:inline distT="0" distB="0" distL="0" distR="0">
            <wp:extent cx="3312546" cy="2104847"/>
            <wp:effectExtent l="19050" t="0" r="2154" b="0"/>
            <wp:docPr id="17" name="Immagine 115" descr="Risultati immagini per alaska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Risultati immagini per alaska russia"/>
                    <pic:cNvPicPr>
                      <a:picLocks noChangeAspect="1" noChangeArrowheads="1"/>
                    </pic:cNvPicPr>
                  </pic:nvPicPr>
                  <pic:blipFill>
                    <a:blip r:embed="rId42" cstate="print"/>
                    <a:srcRect/>
                    <a:stretch>
                      <a:fillRect/>
                    </a:stretch>
                  </pic:blipFill>
                  <pic:spPr bwMode="auto">
                    <a:xfrm>
                      <a:off x="0" y="0"/>
                      <a:ext cx="3313096" cy="2105196"/>
                    </a:xfrm>
                    <a:prstGeom prst="rect">
                      <a:avLst/>
                    </a:prstGeom>
                    <a:noFill/>
                    <a:ln w="9525">
                      <a:noFill/>
                      <a:miter lim="800000"/>
                      <a:headEnd/>
                      <a:tailEnd/>
                    </a:ln>
                  </pic:spPr>
                </pic:pic>
              </a:graphicData>
            </a:graphic>
          </wp:inline>
        </w:drawing>
      </w:r>
      <w:r>
        <w:rPr>
          <w:noProof/>
        </w:rPr>
        <w:drawing>
          <wp:inline distT="0" distB="0" distL="0" distR="0">
            <wp:extent cx="2672865" cy="2107096"/>
            <wp:effectExtent l="19050" t="0" r="0" b="0"/>
            <wp:docPr id="118" name="Immagine 118" descr="Risultati immagini per bacino am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Risultati immagini per bacino amur"/>
                    <pic:cNvPicPr>
                      <a:picLocks noChangeAspect="1" noChangeArrowheads="1"/>
                    </pic:cNvPicPr>
                  </pic:nvPicPr>
                  <pic:blipFill>
                    <a:blip r:embed="rId43"/>
                    <a:srcRect/>
                    <a:stretch>
                      <a:fillRect/>
                    </a:stretch>
                  </pic:blipFill>
                  <pic:spPr bwMode="auto">
                    <a:xfrm>
                      <a:off x="0" y="0"/>
                      <a:ext cx="2672865" cy="2107096"/>
                    </a:xfrm>
                    <a:prstGeom prst="rect">
                      <a:avLst/>
                    </a:prstGeom>
                    <a:noFill/>
                    <a:ln w="9525">
                      <a:noFill/>
                      <a:miter lim="800000"/>
                      <a:headEnd/>
                      <a:tailEnd/>
                    </a:ln>
                  </pic:spPr>
                </pic:pic>
              </a:graphicData>
            </a:graphic>
          </wp:inline>
        </w:drawing>
      </w:r>
      <w:r>
        <w:rPr>
          <w:noProof/>
        </w:rPr>
        <w:drawing>
          <wp:inline distT="0" distB="0" distL="0" distR="0">
            <wp:extent cx="6008038" cy="3382103"/>
            <wp:effectExtent l="19050" t="0" r="0" b="0"/>
            <wp:docPr id="136" name="Immagine 136" descr="Risultati immagini per isole curil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Risultati immagini per isole curili"/>
                    <pic:cNvPicPr>
                      <a:picLocks noChangeAspect="1" noChangeArrowheads="1"/>
                    </pic:cNvPicPr>
                  </pic:nvPicPr>
                  <pic:blipFill>
                    <a:blip r:embed="rId44"/>
                    <a:srcRect/>
                    <a:stretch>
                      <a:fillRect/>
                    </a:stretch>
                  </pic:blipFill>
                  <pic:spPr bwMode="auto">
                    <a:xfrm>
                      <a:off x="0" y="0"/>
                      <a:ext cx="6016119" cy="3386652"/>
                    </a:xfrm>
                    <a:prstGeom prst="rect">
                      <a:avLst/>
                    </a:prstGeom>
                    <a:noFill/>
                    <a:ln w="9525">
                      <a:noFill/>
                      <a:miter lim="800000"/>
                      <a:headEnd/>
                      <a:tailEnd/>
                    </a:ln>
                  </pic:spPr>
                </pic:pic>
              </a:graphicData>
            </a:graphic>
          </wp:inline>
        </w:drawing>
      </w:r>
    </w:p>
    <w:p w:rsidR="007E589F" w:rsidRDefault="007E589F" w:rsidP="000B2651">
      <w:pPr>
        <w:jc w:val="both"/>
        <w:rPr>
          <w:sz w:val="28"/>
        </w:rPr>
      </w:pPr>
      <w:r>
        <w:rPr>
          <w:sz w:val="28"/>
        </w:rPr>
        <w:t>L’atteggiamento dei Russi in Asia fu diverso dall’atteggiamento in Polonia, Lituania, Estonia, qui:</w:t>
      </w:r>
    </w:p>
    <w:p w:rsidR="007E589F" w:rsidRDefault="00002060" w:rsidP="000B2651">
      <w:pPr>
        <w:pStyle w:val="Paragrafoelenco"/>
        <w:numPr>
          <w:ilvl w:val="0"/>
          <w:numId w:val="10"/>
        </w:numPr>
        <w:jc w:val="both"/>
        <w:rPr>
          <w:sz w:val="28"/>
        </w:rPr>
      </w:pPr>
      <w:r>
        <w:rPr>
          <w:sz w:val="28"/>
        </w:rPr>
        <w:t>La Russi</w:t>
      </w:r>
      <w:r w:rsidR="007E589F">
        <w:rPr>
          <w:sz w:val="28"/>
        </w:rPr>
        <w:t>a promuoveva la sua “missione civilizzatrice”: portatrice della civiltà europea e occidentale presso popolazioni primitive</w:t>
      </w:r>
    </w:p>
    <w:p w:rsidR="00002060" w:rsidRDefault="00002060" w:rsidP="000B2651">
      <w:pPr>
        <w:pStyle w:val="Paragrafoelenco"/>
        <w:numPr>
          <w:ilvl w:val="0"/>
          <w:numId w:val="10"/>
        </w:numPr>
        <w:jc w:val="both"/>
        <w:rPr>
          <w:sz w:val="28"/>
        </w:rPr>
      </w:pPr>
      <w:r>
        <w:rPr>
          <w:sz w:val="28"/>
        </w:rPr>
        <w:t xml:space="preserve">Fu elaborata la categoria sociale degli </w:t>
      </w:r>
      <w:r w:rsidRPr="00002060">
        <w:rPr>
          <w:i/>
          <w:sz w:val="28"/>
        </w:rPr>
        <w:t>inorodcy</w:t>
      </w:r>
      <w:r>
        <w:rPr>
          <w:sz w:val="28"/>
        </w:rPr>
        <w:t>: popoli cacciatori o nomadi, affini ai tuzmecy (domestico). Erano sottoposti a segregazione sociale</w:t>
      </w:r>
    </w:p>
    <w:p w:rsidR="00002060" w:rsidRDefault="00002060" w:rsidP="000B2651">
      <w:pPr>
        <w:jc w:val="both"/>
        <w:rPr>
          <w:sz w:val="28"/>
        </w:rPr>
      </w:pPr>
      <w:r>
        <w:rPr>
          <w:sz w:val="28"/>
        </w:rPr>
        <w:t xml:space="preserve">Bismark divenne il massimo arbitro europeo. Nel 1872/73 Germania, Austria-Ungheria e Russia formarono la “Lega dei tre imperatori” e la Russia stipulò un accordo militare con la Germania. La Lega si sciolse a seguito della crisi della Bulgaria. Intorno al 1875 divampò il panslavismo nelle aree balcaniche a seguito della conquista turco-ottomanna. Divampò la solidarietà serba-bulgara. Nel </w:t>
      </w:r>
      <w:r>
        <w:rPr>
          <w:sz w:val="28"/>
        </w:rPr>
        <w:lastRenderedPageBreak/>
        <w:t>frattempo il panslavismo si era diffuso in ambiente russo sia in ambiente liberale che conservatore. I cittadini richiedevano un intervento nei balcani. Gorcakov, ministro degli Esteri, promuoveva la pace ma prevalse Nikolaj Ignatev, ambasciatore a Costantinpoli.</w:t>
      </w:r>
    </w:p>
    <w:p w:rsidR="00002060" w:rsidRDefault="00002060" w:rsidP="000B2651">
      <w:pPr>
        <w:jc w:val="both"/>
        <w:rPr>
          <w:sz w:val="28"/>
        </w:rPr>
      </w:pPr>
      <w:r>
        <w:rPr>
          <w:noProof/>
        </w:rPr>
        <w:drawing>
          <wp:inline distT="0" distB="0" distL="0" distR="0">
            <wp:extent cx="1783969" cy="2496709"/>
            <wp:effectExtent l="19050" t="0" r="6731" b="0"/>
            <wp:docPr id="139" name="Immagine 139" descr="File:Gorcakov A M chancell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File:Gorcakov A M chancellor.jpg"/>
                    <pic:cNvPicPr>
                      <a:picLocks noChangeAspect="1" noChangeArrowheads="1"/>
                    </pic:cNvPicPr>
                  </pic:nvPicPr>
                  <pic:blipFill>
                    <a:blip r:embed="rId45"/>
                    <a:srcRect/>
                    <a:stretch>
                      <a:fillRect/>
                    </a:stretch>
                  </pic:blipFill>
                  <pic:spPr bwMode="auto">
                    <a:xfrm>
                      <a:off x="0" y="0"/>
                      <a:ext cx="1785631" cy="2499035"/>
                    </a:xfrm>
                    <a:prstGeom prst="rect">
                      <a:avLst/>
                    </a:prstGeom>
                    <a:noFill/>
                    <a:ln w="9525">
                      <a:noFill/>
                      <a:miter lim="800000"/>
                      <a:headEnd/>
                      <a:tailEnd/>
                    </a:ln>
                  </pic:spPr>
                </pic:pic>
              </a:graphicData>
            </a:graphic>
          </wp:inline>
        </w:drawing>
      </w:r>
      <w:r>
        <w:rPr>
          <w:noProof/>
        </w:rPr>
        <w:drawing>
          <wp:inline distT="0" distB="0" distL="0" distR="0">
            <wp:extent cx="2143835" cy="2494307"/>
            <wp:effectExtent l="19050" t="0" r="8815" b="0"/>
            <wp:docPr id="142" name="Immagine 142" descr="File:N.P.Ignatiev by Kustodi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File:N.P.Ignatiev by Kustodiev.jpg"/>
                    <pic:cNvPicPr>
                      <a:picLocks noChangeAspect="1" noChangeArrowheads="1"/>
                    </pic:cNvPicPr>
                  </pic:nvPicPr>
                  <pic:blipFill>
                    <a:blip r:embed="rId46"/>
                    <a:srcRect/>
                    <a:stretch>
                      <a:fillRect/>
                    </a:stretch>
                  </pic:blipFill>
                  <pic:spPr bwMode="auto">
                    <a:xfrm>
                      <a:off x="0" y="0"/>
                      <a:ext cx="2145915" cy="2496728"/>
                    </a:xfrm>
                    <a:prstGeom prst="rect">
                      <a:avLst/>
                    </a:prstGeom>
                    <a:noFill/>
                    <a:ln w="9525">
                      <a:noFill/>
                      <a:miter lim="800000"/>
                      <a:headEnd/>
                      <a:tailEnd/>
                    </a:ln>
                  </pic:spPr>
                </pic:pic>
              </a:graphicData>
            </a:graphic>
          </wp:inline>
        </w:drawing>
      </w:r>
    </w:p>
    <w:p w:rsidR="0090740E" w:rsidRDefault="0090740E" w:rsidP="000B2651">
      <w:pPr>
        <w:jc w:val="both"/>
        <w:rPr>
          <w:sz w:val="28"/>
        </w:rPr>
      </w:pPr>
      <w:r>
        <w:rPr>
          <w:sz w:val="28"/>
        </w:rPr>
        <w:t>La guerra russo-turca del 1877 si concluse con la vittoria russa. Il Trattato di Santo Stefano del marzo 1878 definiva le acquisizioni territoriali nel Caucaso e in Bessarabia. Serbia e Romania si resero indipendenti, mentre, la Bulgaria si sottoponeva al protettorato russo.</w:t>
      </w:r>
    </w:p>
    <w:p w:rsidR="00D61023" w:rsidRDefault="0090740E" w:rsidP="000B2651">
      <w:pPr>
        <w:jc w:val="both"/>
        <w:rPr>
          <w:noProof/>
        </w:rPr>
      </w:pPr>
      <w:r>
        <w:rPr>
          <w:sz w:val="28"/>
        </w:rPr>
        <w:t>L’impero austro-ungarico si sentiva sotto minaccia: il panslavismo poteva essere risvegliato dai Russi. La Gran Bretagna si sentiva preoccupata dell’avanzata russa sul Mediterraneo. La Russia aveva sfruttato i favoritismi di Bismark di militarizzare il Mar Nero.</w:t>
      </w:r>
      <w:r w:rsidR="00D61023" w:rsidRPr="00D61023">
        <w:rPr>
          <w:noProof/>
        </w:rPr>
        <w:t xml:space="preserve"> </w:t>
      </w:r>
    </w:p>
    <w:p w:rsidR="0090740E" w:rsidRDefault="00D61023" w:rsidP="000B2651">
      <w:pPr>
        <w:jc w:val="both"/>
        <w:rPr>
          <w:sz w:val="28"/>
        </w:rPr>
      </w:pPr>
      <w:r>
        <w:rPr>
          <w:noProof/>
        </w:rPr>
        <w:lastRenderedPageBreak/>
        <w:drawing>
          <wp:inline distT="0" distB="0" distL="0" distR="0">
            <wp:extent cx="6120130" cy="4802113"/>
            <wp:effectExtent l="19050" t="0" r="0" b="0"/>
            <wp:docPr id="20" name="Immagine 145" descr="File:Serio-comic war map for 187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File:Serio-comic war map for 1877.jpg"/>
                    <pic:cNvPicPr>
                      <a:picLocks noChangeAspect="1" noChangeArrowheads="1"/>
                    </pic:cNvPicPr>
                  </pic:nvPicPr>
                  <pic:blipFill>
                    <a:blip r:embed="rId47"/>
                    <a:srcRect/>
                    <a:stretch>
                      <a:fillRect/>
                    </a:stretch>
                  </pic:blipFill>
                  <pic:spPr bwMode="auto">
                    <a:xfrm>
                      <a:off x="0" y="0"/>
                      <a:ext cx="6120130" cy="4802113"/>
                    </a:xfrm>
                    <a:prstGeom prst="rect">
                      <a:avLst/>
                    </a:prstGeom>
                    <a:noFill/>
                    <a:ln w="9525">
                      <a:noFill/>
                      <a:miter lim="800000"/>
                      <a:headEnd/>
                      <a:tailEnd/>
                    </a:ln>
                  </pic:spPr>
                </pic:pic>
              </a:graphicData>
            </a:graphic>
          </wp:inline>
        </w:drawing>
      </w:r>
      <w:r>
        <w:rPr>
          <w:rStyle w:val="Rimandonotaapidipagina"/>
          <w:sz w:val="28"/>
        </w:rPr>
        <w:footnoteReference w:id="11"/>
      </w:r>
    </w:p>
    <w:p w:rsidR="0090740E" w:rsidRDefault="0090740E" w:rsidP="000B2651">
      <w:pPr>
        <w:jc w:val="both"/>
        <w:rPr>
          <w:sz w:val="28"/>
        </w:rPr>
      </w:pPr>
      <w:r>
        <w:rPr>
          <w:noProof/>
        </w:rPr>
        <w:drawing>
          <wp:inline distT="0" distB="0" distL="0" distR="0">
            <wp:extent cx="6120130" cy="3098329"/>
            <wp:effectExtent l="19050" t="0" r="0" b="0"/>
            <wp:docPr id="148" name="Immagine 148" descr="File:Berliner kongre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File:Berliner kongress.jpg"/>
                    <pic:cNvPicPr>
                      <a:picLocks noChangeAspect="1" noChangeArrowheads="1"/>
                    </pic:cNvPicPr>
                  </pic:nvPicPr>
                  <pic:blipFill>
                    <a:blip r:embed="rId48"/>
                    <a:srcRect/>
                    <a:stretch>
                      <a:fillRect/>
                    </a:stretch>
                  </pic:blipFill>
                  <pic:spPr bwMode="auto">
                    <a:xfrm>
                      <a:off x="0" y="0"/>
                      <a:ext cx="6120130" cy="3098329"/>
                    </a:xfrm>
                    <a:prstGeom prst="rect">
                      <a:avLst/>
                    </a:prstGeom>
                    <a:noFill/>
                    <a:ln w="9525">
                      <a:noFill/>
                      <a:miter lim="800000"/>
                      <a:headEnd/>
                      <a:tailEnd/>
                    </a:ln>
                  </pic:spPr>
                </pic:pic>
              </a:graphicData>
            </a:graphic>
          </wp:inline>
        </w:drawing>
      </w:r>
    </w:p>
    <w:p w:rsidR="0090740E" w:rsidRDefault="0090740E" w:rsidP="000B2651">
      <w:pPr>
        <w:jc w:val="both"/>
        <w:rPr>
          <w:sz w:val="28"/>
        </w:rPr>
      </w:pPr>
      <w:r>
        <w:rPr>
          <w:sz w:val="28"/>
        </w:rPr>
        <w:lastRenderedPageBreak/>
        <w:t>Ma il Congresso di Berlino, nel 1878, cambiò tutto: fu un’umiliazione diplomatica per la Russia e le sue vittorie diplomatiche:</w:t>
      </w:r>
    </w:p>
    <w:p w:rsidR="0090740E" w:rsidRDefault="00D61023" w:rsidP="000B2651">
      <w:pPr>
        <w:pStyle w:val="Paragrafoelenco"/>
        <w:numPr>
          <w:ilvl w:val="0"/>
          <w:numId w:val="11"/>
        </w:numPr>
        <w:jc w:val="both"/>
        <w:rPr>
          <w:sz w:val="28"/>
        </w:rPr>
      </w:pPr>
      <w:r>
        <w:rPr>
          <w:sz w:val="28"/>
        </w:rPr>
        <w:t>La Bosnia-Erzegovina divenne protettorato austriaco</w:t>
      </w:r>
    </w:p>
    <w:p w:rsidR="00D61023" w:rsidRDefault="00D61023" w:rsidP="000B2651">
      <w:pPr>
        <w:pStyle w:val="Paragrafoelenco"/>
        <w:numPr>
          <w:ilvl w:val="0"/>
          <w:numId w:val="11"/>
        </w:numPr>
        <w:jc w:val="both"/>
        <w:rPr>
          <w:sz w:val="28"/>
        </w:rPr>
      </w:pPr>
      <w:r>
        <w:rPr>
          <w:sz w:val="28"/>
        </w:rPr>
        <w:t>La Bulgaria fu divisa in tre parti: la Macedonia, la parte meridionale sotto controllo turco, la Bulgaria</w:t>
      </w:r>
    </w:p>
    <w:p w:rsidR="00D61023" w:rsidRPr="00D61023" w:rsidRDefault="00D61023" w:rsidP="000B2651">
      <w:pPr>
        <w:jc w:val="both"/>
        <w:rPr>
          <w:sz w:val="28"/>
        </w:rPr>
      </w:pPr>
      <w:r>
        <w:rPr>
          <w:noProof/>
        </w:rPr>
        <w:drawing>
          <wp:inline distT="0" distB="0" distL="0" distR="0">
            <wp:extent cx="6120130" cy="4721468"/>
            <wp:effectExtent l="19050" t="0" r="0" b="0"/>
            <wp:docPr id="151" name="Immagine 151" descr="File:SanStefanoBalk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File:SanStefanoBalkan.jpg"/>
                    <pic:cNvPicPr>
                      <a:picLocks noChangeAspect="1" noChangeArrowheads="1"/>
                    </pic:cNvPicPr>
                  </pic:nvPicPr>
                  <pic:blipFill>
                    <a:blip r:embed="rId49"/>
                    <a:srcRect/>
                    <a:stretch>
                      <a:fillRect/>
                    </a:stretch>
                  </pic:blipFill>
                  <pic:spPr bwMode="auto">
                    <a:xfrm>
                      <a:off x="0" y="0"/>
                      <a:ext cx="6120130" cy="4721468"/>
                    </a:xfrm>
                    <a:prstGeom prst="rect">
                      <a:avLst/>
                    </a:prstGeom>
                    <a:noFill/>
                    <a:ln w="9525">
                      <a:noFill/>
                      <a:miter lim="800000"/>
                      <a:headEnd/>
                      <a:tailEnd/>
                    </a:ln>
                  </pic:spPr>
                </pic:pic>
              </a:graphicData>
            </a:graphic>
          </wp:inline>
        </w:drawing>
      </w:r>
      <w:r>
        <w:rPr>
          <w:rStyle w:val="Rimandonotaapidipagina"/>
          <w:sz w:val="28"/>
        </w:rPr>
        <w:footnoteReference w:id="12"/>
      </w:r>
    </w:p>
    <w:p w:rsidR="0090740E" w:rsidRDefault="00D61023" w:rsidP="000B2651">
      <w:pPr>
        <w:pStyle w:val="Titolo2"/>
        <w:jc w:val="both"/>
        <w:rPr>
          <w:sz w:val="28"/>
        </w:rPr>
      </w:pPr>
      <w:bookmarkStart w:id="6" w:name="_Toc493625431"/>
      <w:r w:rsidRPr="00D61023">
        <w:rPr>
          <w:sz w:val="28"/>
        </w:rPr>
        <w:t>Crisi politica e terrorismo</w:t>
      </w:r>
      <w:bookmarkEnd w:id="6"/>
    </w:p>
    <w:p w:rsidR="00141E81" w:rsidRPr="00141E81" w:rsidRDefault="00141E81" w:rsidP="000B2651">
      <w:pPr>
        <w:jc w:val="both"/>
        <w:rPr>
          <w:sz w:val="28"/>
        </w:rPr>
      </w:pPr>
      <w:r>
        <w:rPr>
          <w:sz w:val="28"/>
        </w:rPr>
        <w:t xml:space="preserve">Sia gli occidentalisti e gli slavofili chiedevano la forma di assemblea rappresentativa embrionale, lo </w:t>
      </w:r>
      <w:r>
        <w:rPr>
          <w:i/>
          <w:sz w:val="28"/>
        </w:rPr>
        <w:t>Zemskij Sobor</w:t>
      </w:r>
      <w:r>
        <w:rPr>
          <w:sz w:val="28"/>
        </w:rPr>
        <w:t xml:space="preserve">, in modo da coadiuvare l’attività di governo. Ma nel 1862 lo zar era ancora restio a cedere il proprio principio autocratico. Molti </w:t>
      </w:r>
      <w:r>
        <w:rPr>
          <w:sz w:val="28"/>
        </w:rPr>
        <w:lastRenderedPageBreak/>
        <w:t xml:space="preserve">pensavano che l’istituzione degli </w:t>
      </w:r>
      <w:r>
        <w:rPr>
          <w:i/>
          <w:sz w:val="28"/>
        </w:rPr>
        <w:t>zemstva</w:t>
      </w:r>
      <w:r>
        <w:rPr>
          <w:sz w:val="28"/>
        </w:rPr>
        <w:t xml:space="preserve"> potessero portare alla creazione di un’ assemblea panrussa, posta al di sopra degli stessi </w:t>
      </w:r>
      <w:r>
        <w:rPr>
          <w:i/>
          <w:sz w:val="28"/>
        </w:rPr>
        <w:t>zemstva.</w:t>
      </w:r>
    </w:p>
    <w:p w:rsidR="00D61023" w:rsidRPr="00D61023" w:rsidRDefault="00141E81" w:rsidP="000B2651">
      <w:pPr>
        <w:jc w:val="both"/>
        <w:rPr>
          <w:sz w:val="28"/>
        </w:rPr>
      </w:pPr>
      <w:r>
        <w:rPr>
          <w:noProof/>
        </w:rPr>
        <w:drawing>
          <wp:inline distT="0" distB="0" distL="0" distR="0">
            <wp:extent cx="2867675" cy="2035533"/>
            <wp:effectExtent l="19050" t="0" r="8875" b="0"/>
            <wp:docPr id="154" name="Immagine 154" descr="File:Zemskysob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File:Zemskysobor.jpg"/>
                    <pic:cNvPicPr>
                      <a:picLocks noChangeAspect="1" noChangeArrowheads="1"/>
                    </pic:cNvPicPr>
                  </pic:nvPicPr>
                  <pic:blipFill>
                    <a:blip r:embed="rId50"/>
                    <a:srcRect/>
                    <a:stretch>
                      <a:fillRect/>
                    </a:stretch>
                  </pic:blipFill>
                  <pic:spPr bwMode="auto">
                    <a:xfrm>
                      <a:off x="0" y="0"/>
                      <a:ext cx="2873371" cy="2039576"/>
                    </a:xfrm>
                    <a:prstGeom prst="rect">
                      <a:avLst/>
                    </a:prstGeom>
                    <a:noFill/>
                    <a:ln w="9525">
                      <a:noFill/>
                      <a:miter lim="800000"/>
                      <a:headEnd/>
                      <a:tailEnd/>
                    </a:ln>
                  </pic:spPr>
                </pic:pic>
              </a:graphicData>
            </a:graphic>
          </wp:inline>
        </w:drawing>
      </w:r>
      <w:r>
        <w:rPr>
          <w:rStyle w:val="Rimandonotaapidipagina"/>
          <w:sz w:val="28"/>
        </w:rPr>
        <w:footnoteReference w:id="13"/>
      </w:r>
      <w:r w:rsidR="00415D78" w:rsidRPr="00415D78">
        <w:t xml:space="preserve"> </w:t>
      </w:r>
      <w:r w:rsidR="00415D78">
        <w:rPr>
          <w:noProof/>
        </w:rPr>
        <w:drawing>
          <wp:inline distT="0" distB="0" distL="0" distR="0">
            <wp:extent cx="1610815" cy="2035534"/>
            <wp:effectExtent l="19050" t="0" r="8435" b="0"/>
            <wp:docPr id="157" name="Immagine 157" descr="Risultati immagini per ichail loris melik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Risultati immagini per ichail loris melikov"/>
                    <pic:cNvPicPr>
                      <a:picLocks noChangeAspect="1" noChangeArrowheads="1"/>
                    </pic:cNvPicPr>
                  </pic:nvPicPr>
                  <pic:blipFill>
                    <a:blip r:embed="rId51" cstate="print"/>
                    <a:srcRect/>
                    <a:stretch>
                      <a:fillRect/>
                    </a:stretch>
                  </pic:blipFill>
                  <pic:spPr bwMode="auto">
                    <a:xfrm>
                      <a:off x="0" y="0"/>
                      <a:ext cx="1611018" cy="2035791"/>
                    </a:xfrm>
                    <a:prstGeom prst="rect">
                      <a:avLst/>
                    </a:prstGeom>
                    <a:noFill/>
                    <a:ln w="9525">
                      <a:noFill/>
                      <a:miter lim="800000"/>
                      <a:headEnd/>
                      <a:tailEnd/>
                    </a:ln>
                  </pic:spPr>
                </pic:pic>
              </a:graphicData>
            </a:graphic>
          </wp:inline>
        </w:drawing>
      </w:r>
      <w:r w:rsidR="00415D78">
        <w:rPr>
          <w:rStyle w:val="Rimandonotaapidipagina"/>
        </w:rPr>
        <w:footnoteReference w:id="14"/>
      </w:r>
    </w:p>
    <w:p w:rsidR="009B67E5" w:rsidRDefault="00141E81" w:rsidP="000B2651">
      <w:pPr>
        <w:jc w:val="both"/>
        <w:rPr>
          <w:sz w:val="28"/>
        </w:rPr>
      </w:pPr>
      <w:r>
        <w:rPr>
          <w:sz w:val="28"/>
        </w:rPr>
        <w:t xml:space="preserve">La repressione dell’insurrezione polacca e il fallito tentativo terrorista del populista Dmitrij Karkozov (1866) portò al ridimensionamento dell’autonomia e delle competenze degli </w:t>
      </w:r>
      <w:r>
        <w:rPr>
          <w:i/>
          <w:sz w:val="28"/>
        </w:rPr>
        <w:t>zemstva</w:t>
      </w:r>
      <w:r>
        <w:rPr>
          <w:sz w:val="28"/>
        </w:rPr>
        <w:t>.</w:t>
      </w:r>
    </w:p>
    <w:p w:rsidR="00141E81" w:rsidRDefault="00141E81" w:rsidP="000B2651">
      <w:pPr>
        <w:jc w:val="both"/>
        <w:rPr>
          <w:sz w:val="28"/>
        </w:rPr>
      </w:pPr>
      <w:r>
        <w:rPr>
          <w:sz w:val="28"/>
        </w:rPr>
        <w:t>L’apertura politica si ebbe durante la mobilitazione dell’opinione pubblica nel conflitto russo-turco e nella sfida al terrorismo populista. Lo zarismo si stava aprendo a nuovo diritto costituzionale, in base all’esempio della Bulgaria, e dalla scelta parlamentarista belga. Gli animi riformatori dell’</w:t>
      </w:r>
      <w:r>
        <w:rPr>
          <w:i/>
          <w:sz w:val="28"/>
        </w:rPr>
        <w:t>intelligencija</w:t>
      </w:r>
      <w:r>
        <w:rPr>
          <w:sz w:val="28"/>
        </w:rPr>
        <w:t xml:space="preserve"> russa si infiammarono. Nel 1878-79 si</w:t>
      </w:r>
      <w:r w:rsidR="00415D78">
        <w:rPr>
          <w:sz w:val="28"/>
        </w:rPr>
        <w:t xml:space="preserve"> formarono congressi costituzionali-clandestini: il “movimento di </w:t>
      </w:r>
      <w:r w:rsidR="00415D78" w:rsidRPr="00415D78">
        <w:rPr>
          <w:i/>
          <w:sz w:val="28"/>
        </w:rPr>
        <w:t>zemstvo</w:t>
      </w:r>
      <w:r w:rsidR="00415D78">
        <w:rPr>
          <w:sz w:val="28"/>
        </w:rPr>
        <w:t xml:space="preserve">”. </w:t>
      </w:r>
    </w:p>
    <w:p w:rsidR="00415D78" w:rsidRDefault="00415D78" w:rsidP="000B2651">
      <w:pPr>
        <w:jc w:val="both"/>
        <w:rPr>
          <w:sz w:val="28"/>
        </w:rPr>
      </w:pPr>
      <w:r>
        <w:rPr>
          <w:sz w:val="28"/>
        </w:rPr>
        <w:t>Nel 1880, 25 docenti universitari ed esponenti della società colta di Mosca firarono un memorandum, sottoposto all’attenzione di Michail Loris-Melikov: si richiedeva da parte di rappresentanti della società di coadiuvi care il potere del governo insieme al sovrano.</w:t>
      </w:r>
    </w:p>
    <w:p w:rsidR="00415D78" w:rsidRDefault="00415D78" w:rsidP="000B2651">
      <w:pPr>
        <w:jc w:val="both"/>
        <w:rPr>
          <w:sz w:val="28"/>
        </w:rPr>
      </w:pPr>
      <w:r>
        <w:rPr>
          <w:sz w:val="28"/>
        </w:rPr>
        <w:t xml:space="preserve">Loris-Melikov fu un governatore-generale, dotato di ampi poteri in modo da ristabilire l’ordine. Era un “dittatore regionale militare”. queste cariche erano di nomina dello zar a partire dall’aprile del 1879, all’indomani di un attacco terrorista. Nel 1880 si verificò un altro attacco terrorista e Loris-Melikov divenne capo della  Commissione suprema esecutava per il mantenimento dell’ordine pubblico. Poi divenne ministro dell’interno e capo della seziona antiterrorismo della polizia. Ma anche se possedeva questi poteri straordinari proponeva un dialogo con le forze </w:t>
      </w:r>
      <w:r>
        <w:rPr>
          <w:sz w:val="28"/>
        </w:rPr>
        <w:lastRenderedPageBreak/>
        <w:t xml:space="preserve">liberali. Inoltre era propenso a coinvolgere gli esponenti degli </w:t>
      </w:r>
      <w:r>
        <w:rPr>
          <w:i/>
          <w:sz w:val="28"/>
        </w:rPr>
        <w:t>zemstva</w:t>
      </w:r>
      <w:r>
        <w:rPr>
          <w:sz w:val="28"/>
        </w:rPr>
        <w:t xml:space="preserve"> e le amministrazioni municipali nella gestione politica. La sua autorità fu definita “dittatura del cuore”. Nel 1881 sottopose ad Alessandro II un progetto di riforma: la “costituzione di Loris-Melikov”. Si prospettava l’istituzione di una commissione legislativa con funzione consultiva ma con una parte di nomina regia e l’altra di elezione provinciale.</w:t>
      </w:r>
      <w:r w:rsidR="00F0785C">
        <w:rPr>
          <w:sz w:val="28"/>
        </w:rPr>
        <w:t xml:space="preserve"> Ma il giorno in cui approvò il disegno di legge, Alessandro II morì, vittima dell’attacco terroristico.</w:t>
      </w:r>
    </w:p>
    <w:p w:rsidR="00F0785C" w:rsidRDefault="00F0785C" w:rsidP="000B2651">
      <w:pPr>
        <w:jc w:val="both"/>
        <w:rPr>
          <w:sz w:val="28"/>
        </w:rPr>
      </w:pPr>
      <w:r>
        <w:rPr>
          <w:sz w:val="28"/>
        </w:rPr>
        <w:t xml:space="preserve">Non ci fu alcuna rivoluzione popolare. I membri dell’organizzazione </w:t>
      </w:r>
      <w:r>
        <w:rPr>
          <w:i/>
          <w:sz w:val="28"/>
        </w:rPr>
        <w:t>Norodnaja volja</w:t>
      </w:r>
      <w:r>
        <w:rPr>
          <w:sz w:val="28"/>
        </w:rPr>
        <w:t xml:space="preserve"> furono giustiziati e l’organizzazione si smantellò dopo l’attività di polizia. La conseguenza principale dell’assassinio fu l’accantonamento dell’apertura dell’autocrazia con le forze progressiste.</w:t>
      </w:r>
    </w:p>
    <w:p w:rsidR="00463DB6" w:rsidRDefault="00463DB6" w:rsidP="000B2651">
      <w:pPr>
        <w:jc w:val="both"/>
        <w:rPr>
          <w:sz w:val="28"/>
        </w:rPr>
      </w:pPr>
      <w:r>
        <w:rPr>
          <w:noProof/>
        </w:rPr>
        <w:drawing>
          <wp:inline distT="0" distB="0" distL="0" distR="0">
            <wp:extent cx="1722285" cy="2456852"/>
            <wp:effectExtent l="19050" t="0" r="0" b="0"/>
            <wp:docPr id="160" name="Immagine 160" descr="http://mebnet.altervista.org/schede/Alessandro_III_di_Russ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mebnet.altervista.org/schede/Alessandro_III_di_Russia.jpg"/>
                    <pic:cNvPicPr>
                      <a:picLocks noChangeAspect="1" noChangeArrowheads="1"/>
                    </pic:cNvPicPr>
                  </pic:nvPicPr>
                  <pic:blipFill>
                    <a:blip r:embed="rId52"/>
                    <a:srcRect/>
                    <a:stretch>
                      <a:fillRect/>
                    </a:stretch>
                  </pic:blipFill>
                  <pic:spPr bwMode="auto">
                    <a:xfrm>
                      <a:off x="0" y="0"/>
                      <a:ext cx="1724342" cy="2459786"/>
                    </a:xfrm>
                    <a:prstGeom prst="rect">
                      <a:avLst/>
                    </a:prstGeom>
                    <a:noFill/>
                    <a:ln w="9525">
                      <a:noFill/>
                      <a:miter lim="800000"/>
                      <a:headEnd/>
                      <a:tailEnd/>
                    </a:ln>
                  </pic:spPr>
                </pic:pic>
              </a:graphicData>
            </a:graphic>
          </wp:inline>
        </w:drawing>
      </w:r>
      <w:r w:rsidRPr="00463DB6">
        <w:t xml:space="preserve"> </w:t>
      </w:r>
      <w:r>
        <w:rPr>
          <w:noProof/>
        </w:rPr>
        <w:drawing>
          <wp:inline distT="0" distB="0" distL="0" distR="0">
            <wp:extent cx="1848527" cy="2439556"/>
            <wp:effectExtent l="19050" t="0" r="0" b="0"/>
            <wp:docPr id="163" name="Immagine 163" descr="Risultati immagini per alessandro 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isultati immagini per alessandro III"/>
                    <pic:cNvPicPr>
                      <a:picLocks noChangeAspect="1" noChangeArrowheads="1"/>
                    </pic:cNvPicPr>
                  </pic:nvPicPr>
                  <pic:blipFill>
                    <a:blip r:embed="rId53"/>
                    <a:srcRect/>
                    <a:stretch>
                      <a:fillRect/>
                    </a:stretch>
                  </pic:blipFill>
                  <pic:spPr bwMode="auto">
                    <a:xfrm>
                      <a:off x="0" y="0"/>
                      <a:ext cx="1849250" cy="2440510"/>
                    </a:xfrm>
                    <a:prstGeom prst="rect">
                      <a:avLst/>
                    </a:prstGeom>
                    <a:noFill/>
                    <a:ln w="9525">
                      <a:noFill/>
                      <a:miter lim="800000"/>
                      <a:headEnd/>
                      <a:tailEnd/>
                    </a:ln>
                  </pic:spPr>
                </pic:pic>
              </a:graphicData>
            </a:graphic>
          </wp:inline>
        </w:drawing>
      </w:r>
      <w:r w:rsidRPr="00463DB6">
        <w:t xml:space="preserve"> </w:t>
      </w:r>
      <w:r>
        <w:rPr>
          <w:noProof/>
        </w:rPr>
        <w:drawing>
          <wp:inline distT="0" distB="0" distL="0" distR="0">
            <wp:extent cx="2232933" cy="2440294"/>
            <wp:effectExtent l="19050" t="0" r="0" b="0"/>
            <wp:docPr id="166" name="Immagine 166" descr="File:Konstantin Pobedonosts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File:Konstantin Pobedonostsev.jpg"/>
                    <pic:cNvPicPr>
                      <a:picLocks noChangeAspect="1" noChangeArrowheads="1"/>
                    </pic:cNvPicPr>
                  </pic:nvPicPr>
                  <pic:blipFill>
                    <a:blip r:embed="rId54"/>
                    <a:srcRect/>
                    <a:stretch>
                      <a:fillRect/>
                    </a:stretch>
                  </pic:blipFill>
                  <pic:spPr bwMode="auto">
                    <a:xfrm>
                      <a:off x="0" y="0"/>
                      <a:ext cx="2235229" cy="2442803"/>
                    </a:xfrm>
                    <a:prstGeom prst="rect">
                      <a:avLst/>
                    </a:prstGeom>
                    <a:noFill/>
                    <a:ln w="9525">
                      <a:noFill/>
                      <a:miter lim="800000"/>
                      <a:headEnd/>
                      <a:tailEnd/>
                    </a:ln>
                  </pic:spPr>
                </pic:pic>
              </a:graphicData>
            </a:graphic>
          </wp:inline>
        </w:drawing>
      </w:r>
    </w:p>
    <w:p w:rsidR="00463DB6" w:rsidRDefault="00463DB6" w:rsidP="000B2651">
      <w:pPr>
        <w:jc w:val="both"/>
        <w:rPr>
          <w:sz w:val="28"/>
        </w:rPr>
      </w:pPr>
      <w:r>
        <w:rPr>
          <w:sz w:val="28"/>
        </w:rPr>
        <w:t>Alessandro III emanò il 29 aprile un Manifesto, ispirato da Kostantin Pobedonoscev, suo precettore. Questo Manifesto esprimeva l’intangibilità e l’immutabilità del potere autocratico. Cosa ne segui?</w:t>
      </w:r>
    </w:p>
    <w:p w:rsidR="00463DB6" w:rsidRDefault="00463DB6" w:rsidP="000B2651">
      <w:pPr>
        <w:pStyle w:val="Paragrafoelenco"/>
        <w:numPr>
          <w:ilvl w:val="0"/>
          <w:numId w:val="12"/>
        </w:numPr>
        <w:jc w:val="both"/>
        <w:rPr>
          <w:sz w:val="28"/>
        </w:rPr>
      </w:pPr>
      <w:r>
        <w:rPr>
          <w:sz w:val="28"/>
        </w:rPr>
        <w:t>L’ala liberale (Loris Melikov, Miljutin e Aleksandr Abaza, ministro delle Finanze) si dimise dai suoi incarichi</w:t>
      </w:r>
    </w:p>
    <w:p w:rsidR="00463DB6" w:rsidRDefault="00463DB6" w:rsidP="000B2651">
      <w:pPr>
        <w:pStyle w:val="Paragrafoelenco"/>
        <w:numPr>
          <w:ilvl w:val="0"/>
          <w:numId w:val="12"/>
        </w:numPr>
        <w:jc w:val="both"/>
        <w:rPr>
          <w:sz w:val="28"/>
        </w:rPr>
      </w:pPr>
      <w:r>
        <w:rPr>
          <w:sz w:val="28"/>
        </w:rPr>
        <w:t>Pobedonoscev (procuratore del Santo Sinodo dal 1880 fino al 1905) e Dmntrij Tolstoj, nuovo ministro dell’interno, e Ivan Deljanov, ministro dell’istruzion</w:t>
      </w:r>
    </w:p>
    <w:p w:rsidR="00463DB6" w:rsidRDefault="00463DB6" w:rsidP="000B2651">
      <w:pPr>
        <w:jc w:val="both"/>
        <w:rPr>
          <w:sz w:val="28"/>
        </w:rPr>
      </w:pPr>
      <w:r>
        <w:rPr>
          <w:sz w:val="28"/>
        </w:rPr>
        <w:t xml:space="preserve">Era stato </w:t>
      </w:r>
      <w:r w:rsidR="00E017EB">
        <w:rPr>
          <w:sz w:val="28"/>
        </w:rPr>
        <w:t>sconfessato il lavoro di Loris-Melikov e si riaffermava il principio autocratico di Alessandro III. Alessandro III rompeva la tradizione petrina, occidentalizzante e riformatrice. Alessandro III affermò l’autocrazia zarista, dopo aver visto morire il padre in un attacco terroristico.</w:t>
      </w:r>
    </w:p>
    <w:p w:rsidR="001A0412" w:rsidRDefault="009F11B8" w:rsidP="000B2651">
      <w:pPr>
        <w:pStyle w:val="Titolo1"/>
        <w:jc w:val="both"/>
      </w:pPr>
      <w:bookmarkStart w:id="7" w:name="_Toc493625432"/>
      <w:r>
        <w:lastRenderedPageBreak/>
        <w:t xml:space="preserve">2° </w:t>
      </w:r>
      <w:r w:rsidR="001A0412">
        <w:t>Capitolo: Reazione autocratica, modernizzazione, risveglio politico (1881-1904)</w:t>
      </w:r>
      <w:bookmarkEnd w:id="7"/>
    </w:p>
    <w:p w:rsidR="001A0412" w:rsidRDefault="001A0412" w:rsidP="000B2651">
      <w:pPr>
        <w:pStyle w:val="Titolo2"/>
        <w:jc w:val="both"/>
        <w:rPr>
          <w:sz w:val="28"/>
        </w:rPr>
      </w:pPr>
      <w:bookmarkStart w:id="8" w:name="_Toc493625433"/>
      <w:r w:rsidRPr="001A0412">
        <w:rPr>
          <w:sz w:val="28"/>
        </w:rPr>
        <w:t>Contro</w:t>
      </w:r>
      <w:r>
        <w:rPr>
          <w:sz w:val="28"/>
        </w:rPr>
        <w:t>riforma politica e mobilitazione della società</w:t>
      </w:r>
      <w:bookmarkEnd w:id="8"/>
    </w:p>
    <w:p w:rsidR="00A87383" w:rsidRDefault="00A87383" w:rsidP="000B2651">
      <w:pPr>
        <w:jc w:val="both"/>
        <w:rPr>
          <w:sz w:val="28"/>
        </w:rPr>
      </w:pPr>
      <w:r>
        <w:rPr>
          <w:sz w:val="28"/>
        </w:rPr>
        <w:t>Alessandro III ridimensiono le novità nella vita pubblica e istituzionale introdotte dal padre.</w:t>
      </w:r>
    </w:p>
    <w:p w:rsidR="00A87383" w:rsidRPr="00A87383" w:rsidRDefault="00A87383" w:rsidP="000B2651">
      <w:pPr>
        <w:jc w:val="both"/>
        <w:rPr>
          <w:b/>
          <w:sz w:val="28"/>
        </w:rPr>
      </w:pPr>
      <w:r w:rsidRPr="00A87383">
        <w:rPr>
          <w:b/>
          <w:sz w:val="28"/>
        </w:rPr>
        <w:t>Politica interna e giustizia:</w:t>
      </w:r>
    </w:p>
    <w:p w:rsidR="001A0412" w:rsidRDefault="00A87383" w:rsidP="000B2651">
      <w:pPr>
        <w:jc w:val="both"/>
        <w:rPr>
          <w:sz w:val="28"/>
        </w:rPr>
      </w:pPr>
      <w:r>
        <w:rPr>
          <w:sz w:val="28"/>
        </w:rPr>
        <w:t xml:space="preserve"> Nell’agosto del 1881 promulgò un Regolamento di validità triennale, rinnovato costantemente, sulle “misure di protezione della sicurezza dello Stato e dell’ordine pubblico”. Con questo provvedimento Alessandro III poteva dichiarare lo “stadio di assedio” o lo “stadio di emergenza” in ogni località del paese:</w:t>
      </w:r>
    </w:p>
    <w:p w:rsidR="00A87383" w:rsidRDefault="00A87383" w:rsidP="000B2651">
      <w:pPr>
        <w:pStyle w:val="Paragrafoelenco"/>
        <w:numPr>
          <w:ilvl w:val="0"/>
          <w:numId w:val="13"/>
        </w:numPr>
        <w:jc w:val="both"/>
        <w:rPr>
          <w:sz w:val="28"/>
        </w:rPr>
      </w:pPr>
      <w:r>
        <w:rPr>
          <w:sz w:val="28"/>
        </w:rPr>
        <w:t>Poteva arrestare, controllare, persequire e perseguire le persone, associazioni, iniziativa senza dover rispondere dei suoi atti</w:t>
      </w:r>
    </w:p>
    <w:p w:rsidR="00A87383" w:rsidRDefault="00A87383" w:rsidP="000B2651">
      <w:pPr>
        <w:pStyle w:val="Paragrafoelenco"/>
        <w:numPr>
          <w:ilvl w:val="0"/>
          <w:numId w:val="13"/>
        </w:numPr>
        <w:jc w:val="both"/>
        <w:rPr>
          <w:sz w:val="28"/>
        </w:rPr>
      </w:pPr>
      <w:r>
        <w:rPr>
          <w:sz w:val="28"/>
        </w:rPr>
        <w:t>Le libertà personali furono notevolmente ridotte dopo le aperture sulla riforma della giustizia e la riforma della censura e della stampa</w:t>
      </w:r>
    </w:p>
    <w:p w:rsidR="00A87383" w:rsidRDefault="00A87383" w:rsidP="000B2651">
      <w:pPr>
        <w:jc w:val="both"/>
        <w:rPr>
          <w:sz w:val="28"/>
        </w:rPr>
      </w:pPr>
      <w:r>
        <w:rPr>
          <w:sz w:val="28"/>
        </w:rPr>
        <w:t>Nel 1882-83 la censura si inasprì. Nel 1885 il ministro della Giustizia aveva molti poteri disciplinari contro i giudici. Nel Febbraio 1887 i processi potevano svolgersi a porte chiuse in base alla “dignità dello Stato”. Nel 1889 i criminali di Stato erano giudicati senza giuria.</w:t>
      </w:r>
    </w:p>
    <w:p w:rsidR="00A87383" w:rsidRDefault="00B87B97" w:rsidP="000B2651">
      <w:pPr>
        <w:jc w:val="both"/>
        <w:rPr>
          <w:b/>
          <w:sz w:val="28"/>
        </w:rPr>
      </w:pPr>
      <w:r>
        <w:rPr>
          <w:b/>
          <w:sz w:val="28"/>
        </w:rPr>
        <w:t>Istruzione e università:</w:t>
      </w:r>
    </w:p>
    <w:p w:rsidR="00B87B97" w:rsidRDefault="00B87B97" w:rsidP="000B2651">
      <w:pPr>
        <w:jc w:val="both"/>
        <w:rPr>
          <w:sz w:val="28"/>
        </w:rPr>
      </w:pPr>
      <w:r>
        <w:rPr>
          <w:sz w:val="28"/>
        </w:rPr>
        <w:t>Il Regolamento  fu attuato nel 1884. La didattica fu oppressa dai controlli: le lezioni erano presenziate da un informatore della polizia. Alcuni docenti autorevoli furono licenziati, rei di aver promosso l’occidentalizzazione o di essere vicina alle associazioni studentesche. Nel 1887 gli studenti ebrei furono discriminati dovendo pagare le quote di iscrizione.</w:t>
      </w:r>
    </w:p>
    <w:p w:rsidR="00F630EF" w:rsidRDefault="00F630EF" w:rsidP="000B2651">
      <w:pPr>
        <w:jc w:val="both"/>
        <w:rPr>
          <w:b/>
          <w:sz w:val="28"/>
        </w:rPr>
      </w:pPr>
      <w:r>
        <w:rPr>
          <w:b/>
          <w:sz w:val="28"/>
        </w:rPr>
        <w:t>Zemstva e volost’</w:t>
      </w:r>
      <w:r w:rsidR="00851646">
        <w:rPr>
          <w:b/>
          <w:sz w:val="28"/>
        </w:rPr>
        <w:t xml:space="preserve"> e Ministro dell’interno</w:t>
      </w:r>
      <w:r>
        <w:rPr>
          <w:b/>
          <w:sz w:val="28"/>
        </w:rPr>
        <w:t>:</w:t>
      </w:r>
    </w:p>
    <w:p w:rsidR="00F630EF" w:rsidRDefault="00F630EF" w:rsidP="000B2651">
      <w:pPr>
        <w:jc w:val="both"/>
        <w:rPr>
          <w:sz w:val="28"/>
        </w:rPr>
      </w:pPr>
      <w:r>
        <w:rPr>
          <w:sz w:val="28"/>
        </w:rPr>
        <w:t xml:space="preserve">Crollò il sogno di un organismo assembleare panrusso che dirigesse gli </w:t>
      </w:r>
      <w:r>
        <w:rPr>
          <w:i/>
          <w:sz w:val="28"/>
        </w:rPr>
        <w:t>zemstva</w:t>
      </w:r>
      <w:r>
        <w:rPr>
          <w:sz w:val="28"/>
        </w:rPr>
        <w:t xml:space="preserve">. </w:t>
      </w:r>
    </w:p>
    <w:p w:rsidR="00F630EF" w:rsidRDefault="00F630EF" w:rsidP="000B2651">
      <w:pPr>
        <w:jc w:val="both"/>
        <w:rPr>
          <w:sz w:val="28"/>
        </w:rPr>
      </w:pPr>
      <w:r>
        <w:rPr>
          <w:sz w:val="28"/>
        </w:rPr>
        <w:t xml:space="preserve">All’inizio del 1882 si istituì una Commissione, presieduta da Michail Kachanov, che si soffermava sulla questione di trasformare i </w:t>
      </w:r>
      <w:r>
        <w:rPr>
          <w:i/>
          <w:sz w:val="28"/>
        </w:rPr>
        <w:t>volost</w:t>
      </w:r>
      <w:r>
        <w:rPr>
          <w:sz w:val="28"/>
        </w:rPr>
        <w:t xml:space="preserve"> in organismo intercetuale (non solamente contadino), in modo da dividere l’unità di base dell’amministrazione locale distrettuale e provinciale. Ma si risolse in un nulla di fatto.</w:t>
      </w:r>
    </w:p>
    <w:p w:rsidR="00F630EF" w:rsidRDefault="00F630EF" w:rsidP="000B2651">
      <w:pPr>
        <w:jc w:val="both"/>
        <w:rPr>
          <w:sz w:val="28"/>
        </w:rPr>
      </w:pPr>
      <w:r>
        <w:rPr>
          <w:sz w:val="28"/>
        </w:rPr>
        <w:lastRenderedPageBreak/>
        <w:t xml:space="preserve">Nel luglio del 1889 il </w:t>
      </w:r>
      <w:r>
        <w:rPr>
          <w:i/>
          <w:sz w:val="28"/>
        </w:rPr>
        <w:t>volost’</w:t>
      </w:r>
      <w:r>
        <w:rPr>
          <w:sz w:val="28"/>
        </w:rPr>
        <w:t xml:space="preserve"> contadino fu posto sotto il controllo dello </w:t>
      </w:r>
      <w:r>
        <w:rPr>
          <w:i/>
          <w:sz w:val="28"/>
        </w:rPr>
        <w:t>zemskij nacalnik</w:t>
      </w:r>
      <w:r>
        <w:rPr>
          <w:sz w:val="28"/>
        </w:rPr>
        <w:t>, il comandate territorial, nominato dai nobili locali e dal ministero dellìInerno</w:t>
      </w:r>
      <w:r w:rsidR="00851646">
        <w:rPr>
          <w:sz w:val="28"/>
        </w:rPr>
        <w:t>.</w:t>
      </w:r>
    </w:p>
    <w:p w:rsidR="00851646" w:rsidRPr="00851646" w:rsidRDefault="00851646" w:rsidP="000B2651">
      <w:pPr>
        <w:jc w:val="both"/>
        <w:rPr>
          <w:sz w:val="28"/>
        </w:rPr>
      </w:pPr>
      <w:r>
        <w:rPr>
          <w:sz w:val="28"/>
        </w:rPr>
        <w:t xml:space="preserve">Nel 1890 fu istituito il criterio cetuale nell’elezione degli </w:t>
      </w:r>
      <w:r>
        <w:rPr>
          <w:i/>
          <w:sz w:val="28"/>
        </w:rPr>
        <w:t>zemstva</w:t>
      </w:r>
      <w:r>
        <w:rPr>
          <w:sz w:val="28"/>
        </w:rPr>
        <w:t xml:space="preserve"> distrettuali: fu incrementata la presenza dei nobili a scapito dei cittadini; fu incremento il controllo esercitato dai funzionari statali locali, del governatore provinciale e del ministro dell’Interno.</w:t>
      </w:r>
    </w:p>
    <w:p w:rsidR="00463DB6" w:rsidRPr="00F0785C" w:rsidRDefault="00A87383" w:rsidP="000B2651">
      <w:pPr>
        <w:jc w:val="both"/>
        <w:rPr>
          <w:sz w:val="28"/>
        </w:rPr>
      </w:pPr>
      <w:r>
        <w:rPr>
          <w:noProof/>
        </w:rPr>
        <w:drawing>
          <wp:inline distT="0" distB="0" distL="0" distR="0">
            <wp:extent cx="6880563" cy="6217920"/>
            <wp:effectExtent l="19050" t="0" r="0" b="0"/>
            <wp:docPr id="169" name="Immagine 169" descr="http://images.treccani.it/enc/media/share/images/orig/system/galleries/NPT/VOL_8/IMMAGINI/Russia_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images.treccani.it/enc/media/share/images/orig/system/galleries/NPT/VOL_8/IMMAGINI/Russia_03.jpg"/>
                    <pic:cNvPicPr>
                      <a:picLocks noChangeAspect="1" noChangeArrowheads="1"/>
                    </pic:cNvPicPr>
                  </pic:nvPicPr>
                  <pic:blipFill>
                    <a:blip r:embed="rId55"/>
                    <a:srcRect/>
                    <a:stretch>
                      <a:fillRect/>
                    </a:stretch>
                  </pic:blipFill>
                  <pic:spPr bwMode="auto">
                    <a:xfrm>
                      <a:off x="0" y="0"/>
                      <a:ext cx="6877640" cy="6215278"/>
                    </a:xfrm>
                    <a:prstGeom prst="rect">
                      <a:avLst/>
                    </a:prstGeom>
                    <a:noFill/>
                    <a:ln w="9525">
                      <a:noFill/>
                      <a:miter lim="800000"/>
                      <a:headEnd/>
                      <a:tailEnd/>
                    </a:ln>
                  </pic:spPr>
                </pic:pic>
              </a:graphicData>
            </a:graphic>
          </wp:inline>
        </w:drawing>
      </w:r>
    </w:p>
    <w:p w:rsidR="00200F54" w:rsidRDefault="00851646" w:rsidP="000B2651">
      <w:pPr>
        <w:jc w:val="both"/>
        <w:rPr>
          <w:sz w:val="28"/>
        </w:rPr>
      </w:pPr>
      <w:r>
        <w:rPr>
          <w:sz w:val="28"/>
        </w:rPr>
        <w:lastRenderedPageBreak/>
        <w:t xml:space="preserve">La società colta e i progressisti si lamentarono del </w:t>
      </w:r>
      <w:r w:rsidR="006E52B6">
        <w:rPr>
          <w:sz w:val="28"/>
        </w:rPr>
        <w:t>decurta</w:t>
      </w:r>
      <w:r>
        <w:rPr>
          <w:sz w:val="28"/>
        </w:rPr>
        <w:t>mento dei vari spazi di espressione e iniziativa non più condotta dal basso.</w:t>
      </w:r>
    </w:p>
    <w:p w:rsidR="006E52B6" w:rsidRPr="006E52B6" w:rsidRDefault="006E52B6" w:rsidP="000B2651">
      <w:pPr>
        <w:jc w:val="both"/>
        <w:rPr>
          <w:b/>
          <w:sz w:val="28"/>
        </w:rPr>
      </w:pPr>
      <w:r>
        <w:rPr>
          <w:b/>
          <w:sz w:val="28"/>
        </w:rPr>
        <w:t>Carestia:</w:t>
      </w:r>
    </w:p>
    <w:p w:rsidR="00851646" w:rsidRDefault="00851646" w:rsidP="000B2651">
      <w:pPr>
        <w:jc w:val="both"/>
        <w:rPr>
          <w:sz w:val="28"/>
        </w:rPr>
      </w:pPr>
      <w:r>
        <w:rPr>
          <w:sz w:val="28"/>
        </w:rPr>
        <w:t>La carestia fu condotta tragicamente. Il risveglio dell’opinione pubblica si scatenò. Nell’estate del 1891 la siccità e il raccolto disastroso travolsero molte provincie, dal Volga al Mar Nero. Si aggravò a causa di epidemie di tifo e colera. Nel 1892 si raggiunsero 500.000 morti. Il processo di esportazione all’estero fu emanato in ritardo</w:t>
      </w:r>
      <w:r w:rsidR="006E52B6">
        <w:rPr>
          <w:sz w:val="28"/>
        </w:rPr>
        <w:t xml:space="preserve"> e l’assistenza sanitaria gettava tutti nel panico.</w:t>
      </w:r>
    </w:p>
    <w:p w:rsidR="006E52B6" w:rsidRDefault="006E52B6" w:rsidP="000B2651">
      <w:pPr>
        <w:jc w:val="both"/>
        <w:rPr>
          <w:sz w:val="28"/>
        </w:rPr>
      </w:pPr>
      <w:r>
        <w:rPr>
          <w:sz w:val="28"/>
        </w:rPr>
        <w:t xml:space="preserve">Il governo richiese l’aiuto della società tramite un’ordinanza imperiale. La mobilitazione fu straordinaria, grazie soprattutto ai medici, insegnati, tecnici degli </w:t>
      </w:r>
      <w:r>
        <w:rPr>
          <w:i/>
          <w:sz w:val="28"/>
        </w:rPr>
        <w:t>zemstva</w:t>
      </w:r>
      <w:r>
        <w:rPr>
          <w:sz w:val="28"/>
        </w:rPr>
        <w:t>. I liberi professionisti, le società accademiche, le redazioni (i luoghi dell’</w:t>
      </w:r>
      <w:r>
        <w:rPr>
          <w:i/>
          <w:sz w:val="28"/>
        </w:rPr>
        <w:t>intelligencija</w:t>
      </w:r>
      <w:r>
        <w:rPr>
          <w:sz w:val="28"/>
        </w:rPr>
        <w:t xml:space="preserve"> o “terzo elemento”) parteciparono ad iniziative volontarie. </w:t>
      </w:r>
    </w:p>
    <w:p w:rsidR="006E52B6" w:rsidRDefault="006E52B6" w:rsidP="000B2651">
      <w:pPr>
        <w:jc w:val="both"/>
        <w:rPr>
          <w:sz w:val="28"/>
        </w:rPr>
      </w:pPr>
      <w:r>
        <w:rPr>
          <w:sz w:val="28"/>
        </w:rPr>
        <w:t>Questo evento fu decisivo per diffondere una politicizzazione antigovernativa e rivendicare un ruolo politico pubblico. Secondo Figes fu “l’inizio della rivoluzione russa”. Si separò definitivamente la forbice fra obscestvo e gosudartvo (società e stato).</w:t>
      </w:r>
    </w:p>
    <w:p w:rsidR="006E52B6" w:rsidRDefault="006E52B6" w:rsidP="000B2651">
      <w:pPr>
        <w:jc w:val="both"/>
        <w:rPr>
          <w:b/>
          <w:sz w:val="28"/>
        </w:rPr>
      </w:pPr>
      <w:r>
        <w:rPr>
          <w:b/>
          <w:sz w:val="28"/>
        </w:rPr>
        <w:t>Successione di Nicola II</w:t>
      </w:r>
    </w:p>
    <w:p w:rsidR="006E52B6" w:rsidRPr="00920107" w:rsidRDefault="00920107" w:rsidP="000B2651">
      <w:pPr>
        <w:jc w:val="both"/>
        <w:rPr>
          <w:sz w:val="28"/>
        </w:rPr>
      </w:pPr>
      <w:r w:rsidRPr="00920107">
        <w:rPr>
          <w:sz w:val="28"/>
        </w:rPr>
        <w:t>Nicola II</w:t>
      </w:r>
      <w:r>
        <w:rPr>
          <w:sz w:val="28"/>
        </w:rPr>
        <w:t xml:space="preserve"> successe ad Alessandro III nel 1894. Il suo discorso rivolto agli esponenti degli </w:t>
      </w:r>
      <w:r>
        <w:rPr>
          <w:i/>
          <w:sz w:val="28"/>
        </w:rPr>
        <w:t>zemstva</w:t>
      </w:r>
      <w:r>
        <w:rPr>
          <w:sz w:val="28"/>
        </w:rPr>
        <w:t>, alle municipalità e alla nobiltà, deluse enormemente.</w:t>
      </w:r>
    </w:p>
    <w:p w:rsidR="006E52B6" w:rsidRPr="00920107" w:rsidRDefault="006E52B6" w:rsidP="000B2651">
      <w:pPr>
        <w:jc w:val="both"/>
        <w:rPr>
          <w:sz w:val="24"/>
        </w:rPr>
      </w:pPr>
      <w:r w:rsidRPr="00920107">
        <w:rPr>
          <w:noProof/>
          <w:sz w:val="24"/>
        </w:rPr>
        <w:drawing>
          <wp:inline distT="0" distB="0" distL="0" distR="0">
            <wp:extent cx="1876425" cy="2846705"/>
            <wp:effectExtent l="19050" t="0" r="9525" b="0"/>
            <wp:docPr id="172" name="Immagine 172" descr="Risultati immagini per nicola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Risultati immagini per nicola II"/>
                    <pic:cNvPicPr>
                      <a:picLocks noChangeAspect="1" noChangeArrowheads="1"/>
                    </pic:cNvPicPr>
                  </pic:nvPicPr>
                  <pic:blipFill>
                    <a:blip r:embed="rId56"/>
                    <a:srcRect/>
                    <a:stretch>
                      <a:fillRect/>
                    </a:stretch>
                  </pic:blipFill>
                  <pic:spPr bwMode="auto">
                    <a:xfrm>
                      <a:off x="0" y="0"/>
                      <a:ext cx="1876425" cy="2846705"/>
                    </a:xfrm>
                    <a:prstGeom prst="rect">
                      <a:avLst/>
                    </a:prstGeom>
                    <a:noFill/>
                    <a:ln w="9525">
                      <a:noFill/>
                      <a:miter lim="800000"/>
                      <a:headEnd/>
                      <a:tailEnd/>
                    </a:ln>
                  </pic:spPr>
                </pic:pic>
              </a:graphicData>
            </a:graphic>
          </wp:inline>
        </w:drawing>
      </w:r>
      <w:r w:rsidRPr="00920107">
        <w:rPr>
          <w:sz w:val="24"/>
        </w:rPr>
        <w:t xml:space="preserve"> </w:t>
      </w:r>
      <w:r w:rsidRPr="00920107">
        <w:rPr>
          <w:noProof/>
          <w:sz w:val="24"/>
        </w:rPr>
        <w:drawing>
          <wp:inline distT="0" distB="0" distL="0" distR="0">
            <wp:extent cx="3892991" cy="2843715"/>
            <wp:effectExtent l="19050" t="0" r="0" b="0"/>
            <wp:docPr id="175" name="Immagine 175"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Immagine correlata"/>
                    <pic:cNvPicPr>
                      <a:picLocks noChangeAspect="1" noChangeArrowheads="1"/>
                    </pic:cNvPicPr>
                  </pic:nvPicPr>
                  <pic:blipFill>
                    <a:blip r:embed="rId57"/>
                    <a:srcRect/>
                    <a:stretch>
                      <a:fillRect/>
                    </a:stretch>
                  </pic:blipFill>
                  <pic:spPr bwMode="auto">
                    <a:xfrm>
                      <a:off x="0" y="0"/>
                      <a:ext cx="3902002" cy="2850297"/>
                    </a:xfrm>
                    <a:prstGeom prst="rect">
                      <a:avLst/>
                    </a:prstGeom>
                    <a:noFill/>
                    <a:ln w="9525">
                      <a:noFill/>
                      <a:miter lim="800000"/>
                      <a:headEnd/>
                      <a:tailEnd/>
                    </a:ln>
                  </pic:spPr>
                </pic:pic>
              </a:graphicData>
            </a:graphic>
          </wp:inline>
        </w:drawing>
      </w:r>
    </w:p>
    <w:p w:rsidR="00920107" w:rsidRDefault="00920107" w:rsidP="000B2651">
      <w:pPr>
        <w:jc w:val="both"/>
        <w:rPr>
          <w:sz w:val="28"/>
        </w:rPr>
      </w:pPr>
      <w:r w:rsidRPr="00920107">
        <w:rPr>
          <w:sz w:val="28"/>
        </w:rPr>
        <w:lastRenderedPageBreak/>
        <w:t>Il nuovo zar</w:t>
      </w:r>
      <w:r>
        <w:rPr>
          <w:sz w:val="28"/>
        </w:rPr>
        <w:t xml:space="preserve"> definiva “sogno insensato” il progetto di coinvolgimento al potere dei rappresentanti delle amministrazioni locali e del governo pubblico. Nicola II affermava  il principio autocratico. Nel maggio 1896 la sua cerimonia di incoronazione fu funestata da una tragedia: 3000 persone morirono nella calca sulla spianata di Chodynska. Morirono più di 3.000 persone. La negligenza mostrata da Nicola II si ingraziò lo sfavore della popolazione</w:t>
      </w:r>
      <w:r w:rsidR="004D6E2C">
        <w:rPr>
          <w:sz w:val="28"/>
        </w:rPr>
        <w:t>.</w:t>
      </w:r>
    </w:p>
    <w:p w:rsidR="00920107" w:rsidRDefault="00920107" w:rsidP="000B2651">
      <w:pPr>
        <w:jc w:val="both"/>
      </w:pPr>
      <w:r>
        <w:rPr>
          <w:noProof/>
        </w:rPr>
        <w:drawing>
          <wp:inline distT="0" distB="0" distL="0" distR="0">
            <wp:extent cx="2684393" cy="2546194"/>
            <wp:effectExtent l="19050" t="0" r="1657" b="0"/>
            <wp:docPr id="178" name="Immagine 178" descr="File:Khodynka stampede victi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File:Khodynka stampede victims.jpg"/>
                    <pic:cNvPicPr>
                      <a:picLocks noChangeAspect="1" noChangeArrowheads="1"/>
                    </pic:cNvPicPr>
                  </pic:nvPicPr>
                  <pic:blipFill>
                    <a:blip r:embed="rId58"/>
                    <a:srcRect/>
                    <a:stretch>
                      <a:fillRect/>
                    </a:stretch>
                  </pic:blipFill>
                  <pic:spPr bwMode="auto">
                    <a:xfrm>
                      <a:off x="0" y="0"/>
                      <a:ext cx="2686093" cy="2547807"/>
                    </a:xfrm>
                    <a:prstGeom prst="rect">
                      <a:avLst/>
                    </a:prstGeom>
                    <a:noFill/>
                    <a:ln w="9525">
                      <a:noFill/>
                      <a:miter lim="800000"/>
                      <a:headEnd/>
                      <a:tailEnd/>
                    </a:ln>
                  </pic:spPr>
                </pic:pic>
              </a:graphicData>
            </a:graphic>
          </wp:inline>
        </w:drawing>
      </w:r>
      <w:r w:rsidRPr="00920107">
        <w:t xml:space="preserve"> </w:t>
      </w:r>
      <w:r>
        <w:rPr>
          <w:noProof/>
        </w:rPr>
        <w:drawing>
          <wp:inline distT="0" distB="0" distL="0" distR="0">
            <wp:extent cx="3111767" cy="2544418"/>
            <wp:effectExtent l="19050" t="0" r="0" b="0"/>
            <wp:docPr id="181" name="Immagine 181" descr="https://upload.wikimedia.org/wikipedia/commons/thumb/5/51/SerovV_MiropomazanNikolAlek.jpg/1024px-SerovV_MiropomazanNikolAle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upload.wikimedia.org/wikipedia/commons/thumb/5/51/SerovV_MiropomazanNikolAlek.jpg/1024px-SerovV_MiropomazanNikolAlek.jpg"/>
                    <pic:cNvPicPr>
                      <a:picLocks noChangeAspect="1" noChangeArrowheads="1"/>
                    </pic:cNvPicPr>
                  </pic:nvPicPr>
                  <pic:blipFill>
                    <a:blip r:embed="rId59" cstate="print"/>
                    <a:srcRect/>
                    <a:stretch>
                      <a:fillRect/>
                    </a:stretch>
                  </pic:blipFill>
                  <pic:spPr bwMode="auto">
                    <a:xfrm>
                      <a:off x="0" y="0"/>
                      <a:ext cx="3113896" cy="2546159"/>
                    </a:xfrm>
                    <a:prstGeom prst="rect">
                      <a:avLst/>
                    </a:prstGeom>
                    <a:noFill/>
                    <a:ln w="9525">
                      <a:noFill/>
                      <a:miter lim="800000"/>
                      <a:headEnd/>
                      <a:tailEnd/>
                    </a:ln>
                  </pic:spPr>
                </pic:pic>
              </a:graphicData>
            </a:graphic>
          </wp:inline>
        </w:drawing>
      </w:r>
      <w:r>
        <w:rPr>
          <w:rStyle w:val="Rimandonotaapidipagina"/>
        </w:rPr>
        <w:footnoteReference w:id="15"/>
      </w:r>
    </w:p>
    <w:p w:rsidR="00920107" w:rsidRDefault="004D6E2C" w:rsidP="000B2651">
      <w:pPr>
        <w:jc w:val="both"/>
        <w:rPr>
          <w:sz w:val="28"/>
        </w:rPr>
      </w:pPr>
      <w:r>
        <w:rPr>
          <w:sz w:val="28"/>
        </w:rPr>
        <w:t>Nicola II proseguì la politica di russificazione (culturale e amministrativa) e l’integrazione amministrativa nella Transcaucasia. La russificaione fu così pressante che innescò malcontento e movimenti nazionalistici:</w:t>
      </w:r>
    </w:p>
    <w:p w:rsidR="004D6E2C" w:rsidRDefault="004D6E2C" w:rsidP="000B2651">
      <w:pPr>
        <w:pStyle w:val="Paragrafoelenco"/>
        <w:numPr>
          <w:ilvl w:val="0"/>
          <w:numId w:val="14"/>
        </w:numPr>
        <w:jc w:val="both"/>
        <w:rPr>
          <w:sz w:val="28"/>
        </w:rPr>
      </w:pPr>
      <w:r>
        <w:rPr>
          <w:sz w:val="28"/>
        </w:rPr>
        <w:t>L’autonomia dei paesi baltici fu ridimensionata rispetto al precedente statuto speciale (che era in vigore sin dal 1710);</w:t>
      </w:r>
    </w:p>
    <w:p w:rsidR="004D6E2C" w:rsidRDefault="004D6E2C" w:rsidP="000B2651">
      <w:pPr>
        <w:pStyle w:val="Paragrafoelenco"/>
        <w:numPr>
          <w:ilvl w:val="0"/>
          <w:numId w:val="14"/>
        </w:numPr>
        <w:jc w:val="both"/>
        <w:rPr>
          <w:sz w:val="28"/>
        </w:rPr>
      </w:pPr>
      <w:r>
        <w:rPr>
          <w:sz w:val="28"/>
        </w:rPr>
        <w:t>In Georgia e in Armenia alla russificazione culturale e linguistica si unì la persecuzione alle chiese;</w:t>
      </w:r>
    </w:p>
    <w:p w:rsidR="004D6E2C" w:rsidRDefault="004D6E2C" w:rsidP="000B2651">
      <w:pPr>
        <w:pStyle w:val="Paragrafoelenco"/>
        <w:numPr>
          <w:ilvl w:val="0"/>
          <w:numId w:val="14"/>
        </w:numPr>
        <w:jc w:val="both"/>
        <w:rPr>
          <w:sz w:val="28"/>
        </w:rPr>
      </w:pPr>
      <w:r>
        <w:rPr>
          <w:sz w:val="28"/>
        </w:rPr>
        <w:t>In Finlandia fu promulgato un Manifesto imperiale nel 1899. Questo provvedimento privava la Dieta finlandese di molte competenze legislative. Fu sciolto l’esercito e fu introdotta la lingua russa. Nikolaj Bobrikov ottenne vari potere ma fu assassinato nel 1904;</w:t>
      </w:r>
    </w:p>
    <w:p w:rsidR="004D6E2C" w:rsidRDefault="004D6E2C" w:rsidP="000B2651">
      <w:pPr>
        <w:jc w:val="both"/>
        <w:rPr>
          <w:sz w:val="28"/>
        </w:rPr>
      </w:pPr>
      <w:r>
        <w:rPr>
          <w:sz w:val="28"/>
        </w:rPr>
        <w:t xml:space="preserve">Gli ebrei furono esclusi e discriminati, sopratutto dopo i numerosi pogromy in Ucraina. La questione ebraica ebbe un ruolo principale all’inizio del secolo sia per </w:t>
      </w:r>
      <w:r>
        <w:rPr>
          <w:sz w:val="28"/>
        </w:rPr>
        <w:lastRenderedPageBreak/>
        <w:t xml:space="preserve">l’emergente nazionalismo russo e sia per l’azione governativa. Gli agenti della polizia zarista stilarono il famoso “falso” dei </w:t>
      </w:r>
      <w:r>
        <w:rPr>
          <w:i/>
          <w:sz w:val="28"/>
        </w:rPr>
        <w:t>Protocolli dei Savi di Sion</w:t>
      </w:r>
      <w:r>
        <w:rPr>
          <w:sz w:val="28"/>
        </w:rPr>
        <w:t>. Un altro terribile pogrom fu scatenato  Kisinev nel 1903.</w:t>
      </w:r>
    </w:p>
    <w:p w:rsidR="004D6E2C" w:rsidRDefault="004D6E2C" w:rsidP="000B2651">
      <w:pPr>
        <w:jc w:val="both"/>
      </w:pPr>
      <w:r>
        <w:rPr>
          <w:noProof/>
        </w:rPr>
        <w:drawing>
          <wp:inline distT="0" distB="0" distL="0" distR="0">
            <wp:extent cx="1976727" cy="2962316"/>
            <wp:effectExtent l="19050" t="0" r="4473" b="0"/>
            <wp:docPr id="184" name="Immagine 184" descr="https://upload.wikimedia.org/wikipedia/commons/8/8a/Nikolai_Bobrik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upload.wikimedia.org/wikipedia/commons/8/8a/Nikolai_Bobrikov.jpg"/>
                    <pic:cNvPicPr>
                      <a:picLocks noChangeAspect="1" noChangeArrowheads="1"/>
                    </pic:cNvPicPr>
                  </pic:nvPicPr>
                  <pic:blipFill>
                    <a:blip r:embed="rId60"/>
                    <a:srcRect/>
                    <a:stretch>
                      <a:fillRect/>
                    </a:stretch>
                  </pic:blipFill>
                  <pic:spPr bwMode="auto">
                    <a:xfrm>
                      <a:off x="0" y="0"/>
                      <a:ext cx="1978307" cy="2964684"/>
                    </a:xfrm>
                    <a:prstGeom prst="rect">
                      <a:avLst/>
                    </a:prstGeom>
                    <a:noFill/>
                    <a:ln w="9525">
                      <a:noFill/>
                      <a:miter lim="800000"/>
                      <a:headEnd/>
                      <a:tailEnd/>
                    </a:ln>
                  </pic:spPr>
                </pic:pic>
              </a:graphicData>
            </a:graphic>
          </wp:inline>
        </w:drawing>
      </w:r>
      <w:r>
        <w:rPr>
          <w:rStyle w:val="Rimandonotaapidipagina"/>
          <w:sz w:val="28"/>
        </w:rPr>
        <w:footnoteReference w:id="16"/>
      </w:r>
      <w:r w:rsidRPr="004D6E2C">
        <w:t xml:space="preserve"> </w:t>
      </w:r>
      <w:r>
        <w:rPr>
          <w:noProof/>
        </w:rPr>
        <w:drawing>
          <wp:inline distT="0" distB="0" distL="0" distR="0">
            <wp:extent cx="1876425" cy="2950210"/>
            <wp:effectExtent l="19050" t="0" r="9525" b="0"/>
            <wp:docPr id="187" name="Immagine 187" descr="Risultati immagini per protocolli dei savi di 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Risultati immagini per protocolli dei savi di sion"/>
                    <pic:cNvPicPr>
                      <a:picLocks noChangeAspect="1" noChangeArrowheads="1"/>
                    </pic:cNvPicPr>
                  </pic:nvPicPr>
                  <pic:blipFill>
                    <a:blip r:embed="rId61"/>
                    <a:srcRect/>
                    <a:stretch>
                      <a:fillRect/>
                    </a:stretch>
                  </pic:blipFill>
                  <pic:spPr bwMode="auto">
                    <a:xfrm>
                      <a:off x="0" y="0"/>
                      <a:ext cx="1876425" cy="2950210"/>
                    </a:xfrm>
                    <a:prstGeom prst="rect">
                      <a:avLst/>
                    </a:prstGeom>
                    <a:noFill/>
                    <a:ln w="9525">
                      <a:noFill/>
                      <a:miter lim="800000"/>
                      <a:headEnd/>
                      <a:tailEnd/>
                    </a:ln>
                  </pic:spPr>
                </pic:pic>
              </a:graphicData>
            </a:graphic>
          </wp:inline>
        </w:drawing>
      </w:r>
    </w:p>
    <w:p w:rsidR="004D6E2C" w:rsidRDefault="00DC79A6" w:rsidP="000B2651">
      <w:pPr>
        <w:pStyle w:val="Titolo2"/>
        <w:jc w:val="both"/>
        <w:rPr>
          <w:sz w:val="28"/>
        </w:rPr>
      </w:pPr>
      <w:bookmarkStart w:id="9" w:name="_Toc493625434"/>
      <w:r w:rsidRPr="00DC79A6">
        <w:rPr>
          <w:sz w:val="28"/>
        </w:rPr>
        <w:t>Decollo industriale e trasformazioni del mondo rurale</w:t>
      </w:r>
      <w:bookmarkEnd w:id="9"/>
    </w:p>
    <w:p w:rsidR="007F2681" w:rsidRPr="007F2681" w:rsidRDefault="007F2681" w:rsidP="000B2651">
      <w:pPr>
        <w:jc w:val="both"/>
        <w:rPr>
          <w:sz w:val="28"/>
        </w:rPr>
      </w:pPr>
      <w:r>
        <w:rPr>
          <w:sz w:val="28"/>
        </w:rPr>
        <w:t>Teniamo in mente questo discorso:</w:t>
      </w:r>
    </w:p>
    <w:tbl>
      <w:tblPr>
        <w:tblStyle w:val="Grigliatabella"/>
        <w:tblW w:w="0" w:type="auto"/>
        <w:tblLook w:val="04A0"/>
      </w:tblPr>
      <w:tblGrid>
        <w:gridCol w:w="4889"/>
        <w:gridCol w:w="4889"/>
      </w:tblGrid>
      <w:tr w:rsidR="00DC79A6" w:rsidTr="00DC79A6">
        <w:tc>
          <w:tcPr>
            <w:tcW w:w="4889" w:type="dxa"/>
          </w:tcPr>
          <w:p w:rsidR="00DC79A6" w:rsidRDefault="00DC79A6" w:rsidP="000B2651">
            <w:pPr>
              <w:jc w:val="both"/>
              <w:rPr>
                <w:sz w:val="28"/>
              </w:rPr>
            </w:pPr>
            <w:r>
              <w:rPr>
                <w:sz w:val="28"/>
              </w:rPr>
              <w:t>Imposte indirette</w:t>
            </w:r>
          </w:p>
        </w:tc>
        <w:tc>
          <w:tcPr>
            <w:tcW w:w="4889" w:type="dxa"/>
          </w:tcPr>
          <w:p w:rsidR="00DC79A6" w:rsidRDefault="00DC79A6" w:rsidP="000B2651">
            <w:pPr>
              <w:jc w:val="both"/>
              <w:rPr>
                <w:sz w:val="28"/>
              </w:rPr>
            </w:pPr>
            <w:r>
              <w:rPr>
                <w:sz w:val="28"/>
              </w:rPr>
              <w:t>Imposta diretta</w:t>
            </w:r>
          </w:p>
        </w:tc>
      </w:tr>
      <w:tr w:rsidR="00DC79A6" w:rsidTr="00DC79A6">
        <w:tc>
          <w:tcPr>
            <w:tcW w:w="4889" w:type="dxa"/>
          </w:tcPr>
          <w:p w:rsidR="007F2681" w:rsidRDefault="007F2681" w:rsidP="000B2651">
            <w:pPr>
              <w:jc w:val="both"/>
              <w:rPr>
                <w:sz w:val="28"/>
              </w:rPr>
            </w:pPr>
            <w:r>
              <w:rPr>
                <w:sz w:val="28"/>
              </w:rPr>
              <w:t xml:space="preserve">Serie di provvedimenti che vanno a colpire la ricchezza non in maniera diretta ma quando questa viene trasferita o consumata. </w:t>
            </w:r>
          </w:p>
          <w:p w:rsidR="007F2681" w:rsidRDefault="007F2681" w:rsidP="000B2651">
            <w:pPr>
              <w:jc w:val="both"/>
              <w:rPr>
                <w:sz w:val="28"/>
              </w:rPr>
            </w:pPr>
          </w:p>
          <w:p w:rsidR="00DC79A6" w:rsidRDefault="007F2681" w:rsidP="000B2651">
            <w:pPr>
              <w:jc w:val="both"/>
              <w:rPr>
                <w:sz w:val="28"/>
              </w:rPr>
            </w:pPr>
            <w:r>
              <w:rPr>
                <w:sz w:val="28"/>
              </w:rPr>
              <w:t>L’imposta indiretta si applica dunque quando abbiamo la vendita di un bene oppure andiamo ad usufruire di un particolare servizio o di una prestazione</w:t>
            </w:r>
          </w:p>
        </w:tc>
        <w:tc>
          <w:tcPr>
            <w:tcW w:w="4889" w:type="dxa"/>
          </w:tcPr>
          <w:p w:rsidR="00DC79A6" w:rsidRDefault="007F2681" w:rsidP="000B2651">
            <w:pPr>
              <w:jc w:val="both"/>
              <w:rPr>
                <w:sz w:val="28"/>
              </w:rPr>
            </w:pPr>
            <w:r>
              <w:rPr>
                <w:sz w:val="28"/>
              </w:rPr>
              <w:t>Colpiscono le manifestazioni immediate della capacità contributiva, come il reddito o il patrimonio. I vantaggi che presenta rispetto all’imposta indiretta sono dovuti al fatto che può essere usata come:</w:t>
            </w:r>
          </w:p>
          <w:p w:rsidR="007F2681" w:rsidRDefault="007F2681" w:rsidP="000B2651">
            <w:pPr>
              <w:pStyle w:val="Paragrafoelenco"/>
              <w:numPr>
                <w:ilvl w:val="0"/>
                <w:numId w:val="15"/>
              </w:numPr>
              <w:jc w:val="both"/>
              <w:rPr>
                <w:sz w:val="28"/>
              </w:rPr>
            </w:pPr>
            <w:r>
              <w:rPr>
                <w:sz w:val="28"/>
              </w:rPr>
              <w:t>Strumento di giustizia tributaria, in quanto, permette di attuare il principio ella progressività dell’imposta;</w:t>
            </w:r>
          </w:p>
          <w:p w:rsidR="007F2681" w:rsidRPr="007F2681" w:rsidRDefault="007F2681" w:rsidP="000B2651">
            <w:pPr>
              <w:pStyle w:val="Paragrafoelenco"/>
              <w:numPr>
                <w:ilvl w:val="0"/>
                <w:numId w:val="15"/>
              </w:numPr>
              <w:jc w:val="both"/>
              <w:rPr>
                <w:sz w:val="28"/>
              </w:rPr>
            </w:pPr>
            <w:r>
              <w:rPr>
                <w:sz w:val="28"/>
              </w:rPr>
              <w:t>Strumento di politica anti-inflazionistica, perché in caso di inflazione un aumento dell’aliquota rallenta la circolazione monetaria</w:t>
            </w:r>
          </w:p>
        </w:tc>
      </w:tr>
    </w:tbl>
    <w:p w:rsidR="00DC79A6" w:rsidRDefault="00DC79A6" w:rsidP="000B2651">
      <w:pPr>
        <w:jc w:val="both"/>
        <w:rPr>
          <w:sz w:val="28"/>
        </w:rPr>
      </w:pPr>
    </w:p>
    <w:p w:rsidR="007F2681" w:rsidRDefault="00CE0260" w:rsidP="000B2651">
      <w:pPr>
        <w:jc w:val="both"/>
        <w:rPr>
          <w:sz w:val="28"/>
        </w:rPr>
      </w:pPr>
      <w:r>
        <w:rPr>
          <w:sz w:val="28"/>
        </w:rPr>
        <w:lastRenderedPageBreak/>
        <w:t>L’epoca di Alessandro III fu chiamata “modernizzazione difensiva”: promuovere lo sviluppo economico, superare l’arretratezza russa, sfidare la potenza emergente tedesca. Fu perseguita l’obiettivo di risanamento e pareggio del bilancio in modo da industrializzare il paese. Però la vita finanziaria del paese fu molto diversificata.</w:t>
      </w:r>
    </w:p>
    <w:p w:rsidR="00CE0260" w:rsidRDefault="00CE0260" w:rsidP="000B2651">
      <w:pPr>
        <w:jc w:val="both"/>
        <w:rPr>
          <w:b/>
          <w:sz w:val="28"/>
        </w:rPr>
      </w:pPr>
      <w:r>
        <w:rPr>
          <w:b/>
          <w:sz w:val="28"/>
        </w:rPr>
        <w:t>1881 al 1886:</w:t>
      </w:r>
    </w:p>
    <w:p w:rsidR="00CE0260" w:rsidRDefault="00CE0260" w:rsidP="000B2651">
      <w:pPr>
        <w:jc w:val="both"/>
        <w:rPr>
          <w:b/>
          <w:sz w:val="28"/>
        </w:rPr>
      </w:pPr>
      <w:r>
        <w:rPr>
          <w:noProof/>
        </w:rPr>
        <w:drawing>
          <wp:inline distT="0" distB="0" distL="0" distR="0">
            <wp:extent cx="1626870" cy="1987250"/>
            <wp:effectExtent l="19050" t="0" r="0" b="0"/>
            <wp:docPr id="190" name="Immagine 190" descr="Risultati immagini per nikolai bu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Risultati immagini per nikolai bunge"/>
                    <pic:cNvPicPr>
                      <a:picLocks noChangeAspect="1" noChangeArrowheads="1"/>
                    </pic:cNvPicPr>
                  </pic:nvPicPr>
                  <pic:blipFill>
                    <a:blip r:embed="rId62"/>
                    <a:srcRect/>
                    <a:stretch>
                      <a:fillRect/>
                    </a:stretch>
                  </pic:blipFill>
                  <pic:spPr bwMode="auto">
                    <a:xfrm>
                      <a:off x="0" y="0"/>
                      <a:ext cx="1626729" cy="1987077"/>
                    </a:xfrm>
                    <a:prstGeom prst="rect">
                      <a:avLst/>
                    </a:prstGeom>
                    <a:noFill/>
                    <a:ln w="9525">
                      <a:noFill/>
                      <a:miter lim="800000"/>
                      <a:headEnd/>
                      <a:tailEnd/>
                    </a:ln>
                  </pic:spPr>
                </pic:pic>
              </a:graphicData>
            </a:graphic>
          </wp:inline>
        </w:drawing>
      </w:r>
    </w:p>
    <w:p w:rsidR="00CE0260" w:rsidRDefault="00CE0260" w:rsidP="000B2651">
      <w:pPr>
        <w:jc w:val="both"/>
        <w:rPr>
          <w:sz w:val="28"/>
        </w:rPr>
      </w:pPr>
      <w:r>
        <w:rPr>
          <w:sz w:val="28"/>
        </w:rPr>
        <w:t>Nikolaj Bunge fu il ministro delle Finanze. Proponeva il contenimento delle spese militari, il riequilibrio del sistema fiscale delle imposte dirette e indiret</w:t>
      </w:r>
      <w:r w:rsidR="009222DE">
        <w:rPr>
          <w:sz w:val="28"/>
        </w:rPr>
        <w:t>te, sostegno dell’agricoltura. Ridusse il debito di riscatto e istituì la Banca contadina,introdusse tasse sulla successione e sui profitti industriali e sulla rendita finanziaria</w:t>
      </w:r>
    </w:p>
    <w:p w:rsidR="009222DE" w:rsidRDefault="009222DE" w:rsidP="000B2651">
      <w:pPr>
        <w:jc w:val="both"/>
        <w:rPr>
          <w:b/>
          <w:sz w:val="28"/>
        </w:rPr>
      </w:pPr>
      <w:r>
        <w:rPr>
          <w:b/>
          <w:sz w:val="28"/>
        </w:rPr>
        <w:t>1886-1892</w:t>
      </w:r>
    </w:p>
    <w:p w:rsidR="009222DE" w:rsidRDefault="009222DE" w:rsidP="000B2651">
      <w:pPr>
        <w:jc w:val="both"/>
        <w:rPr>
          <w:b/>
          <w:sz w:val="28"/>
        </w:rPr>
      </w:pPr>
      <w:r>
        <w:rPr>
          <w:noProof/>
        </w:rPr>
        <w:drawing>
          <wp:inline distT="0" distB="0" distL="0" distR="0">
            <wp:extent cx="1692052" cy="2198234"/>
            <wp:effectExtent l="19050" t="0" r="3398" b="0"/>
            <wp:docPr id="193" name="Immagine 193" descr="Risultati immagini per ivan vyshnegrad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Risultati immagini per ivan vyshnegradsky"/>
                    <pic:cNvPicPr>
                      <a:picLocks noChangeAspect="1" noChangeArrowheads="1"/>
                    </pic:cNvPicPr>
                  </pic:nvPicPr>
                  <pic:blipFill>
                    <a:blip r:embed="rId63"/>
                    <a:srcRect/>
                    <a:stretch>
                      <a:fillRect/>
                    </a:stretch>
                  </pic:blipFill>
                  <pic:spPr bwMode="auto">
                    <a:xfrm>
                      <a:off x="0" y="0"/>
                      <a:ext cx="1694727" cy="2201709"/>
                    </a:xfrm>
                    <a:prstGeom prst="rect">
                      <a:avLst/>
                    </a:prstGeom>
                    <a:noFill/>
                    <a:ln w="9525">
                      <a:noFill/>
                      <a:miter lim="800000"/>
                      <a:headEnd/>
                      <a:tailEnd/>
                    </a:ln>
                  </pic:spPr>
                </pic:pic>
              </a:graphicData>
            </a:graphic>
          </wp:inline>
        </w:drawing>
      </w:r>
    </w:p>
    <w:p w:rsidR="009222DE" w:rsidRPr="009222DE" w:rsidRDefault="009222DE" w:rsidP="000B2651">
      <w:pPr>
        <w:jc w:val="both"/>
        <w:rPr>
          <w:sz w:val="28"/>
        </w:rPr>
      </w:pPr>
      <w:r>
        <w:rPr>
          <w:sz w:val="28"/>
        </w:rPr>
        <w:t xml:space="preserve">Ivan Vysengradskij voleva creare eccedenze di bilancio, comprimere i consumi e aumentare le tasse. Inoltre voleva ridurre la spesa statale e aumentare i dazi doganali. Voleva promuovere l’industrializzazione a discapito dell’agricoltura. Voleva soprattutto esportare enorme quantità di cereali in modo da stabilizzare il rublo. </w:t>
      </w:r>
      <w:r>
        <w:rPr>
          <w:sz w:val="28"/>
        </w:rPr>
        <w:lastRenderedPageBreak/>
        <w:t>Pertanto si oppose alle esportazioni di cereali nel 1891 e si dimise nell’agosto del 1892</w:t>
      </w:r>
    </w:p>
    <w:p w:rsidR="009222DE" w:rsidRDefault="009222DE" w:rsidP="000B2651">
      <w:pPr>
        <w:jc w:val="both"/>
        <w:rPr>
          <w:b/>
          <w:sz w:val="28"/>
        </w:rPr>
      </w:pPr>
    </w:p>
    <w:p w:rsidR="009222DE" w:rsidRDefault="009222DE" w:rsidP="000B2651">
      <w:pPr>
        <w:jc w:val="both"/>
        <w:rPr>
          <w:b/>
          <w:sz w:val="28"/>
        </w:rPr>
      </w:pPr>
      <w:r>
        <w:rPr>
          <w:b/>
          <w:sz w:val="28"/>
        </w:rPr>
        <w:t>1892-1903</w:t>
      </w:r>
    </w:p>
    <w:p w:rsidR="009222DE" w:rsidRDefault="009222DE" w:rsidP="000B2651">
      <w:pPr>
        <w:jc w:val="both"/>
        <w:rPr>
          <w:sz w:val="28"/>
        </w:rPr>
      </w:pPr>
      <w:r>
        <w:rPr>
          <w:noProof/>
        </w:rPr>
        <w:drawing>
          <wp:inline distT="0" distB="0" distL="0" distR="0">
            <wp:extent cx="2149891" cy="3188473"/>
            <wp:effectExtent l="19050" t="0" r="2759" b="0"/>
            <wp:docPr id="196" name="Immagine 196" descr="Sergei Yulyevich Witte 19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Sergei Yulyevich Witte 1905.jpeg"/>
                    <pic:cNvPicPr>
                      <a:picLocks noChangeAspect="1" noChangeArrowheads="1"/>
                    </pic:cNvPicPr>
                  </pic:nvPicPr>
                  <pic:blipFill>
                    <a:blip r:embed="rId64" cstate="print"/>
                    <a:srcRect/>
                    <a:stretch>
                      <a:fillRect/>
                    </a:stretch>
                  </pic:blipFill>
                  <pic:spPr bwMode="auto">
                    <a:xfrm>
                      <a:off x="0" y="0"/>
                      <a:ext cx="2150162" cy="3188876"/>
                    </a:xfrm>
                    <a:prstGeom prst="rect">
                      <a:avLst/>
                    </a:prstGeom>
                    <a:noFill/>
                    <a:ln w="9525">
                      <a:noFill/>
                      <a:miter lim="800000"/>
                      <a:headEnd/>
                      <a:tailEnd/>
                    </a:ln>
                  </pic:spPr>
                </pic:pic>
              </a:graphicData>
            </a:graphic>
          </wp:inline>
        </w:drawing>
      </w:r>
    </w:p>
    <w:p w:rsidR="009222DE" w:rsidRDefault="009222DE" w:rsidP="000B2651">
      <w:pPr>
        <w:jc w:val="both"/>
        <w:rPr>
          <w:sz w:val="28"/>
        </w:rPr>
      </w:pPr>
      <w:r>
        <w:rPr>
          <w:sz w:val="28"/>
        </w:rPr>
        <w:t xml:space="preserve">Sergej Witte divenne nuovo ministro delle Finanze. Fu il massimo promotore del decollo industriale russo. </w:t>
      </w:r>
      <w:r w:rsidR="00FD601E">
        <w:rPr>
          <w:sz w:val="28"/>
        </w:rPr>
        <w:t>Promosse lo sviluppo delle ferrovie e soprattutto la realizzazione della Transiberiana. Promosse soprattutto l’industria pesante e l’attività mineraria (ferro, acciaio, carbone, petrolio). Il tasso di crescita era del 7/8%. Sfuttò capitali e conoscenze tecniche straniere in modo da creare una grande concentrazione di stabilimenti, in cui lo Stato aveva un grande ruolo nella raccolta dei capitali. Inoltre difese l’economia russa con giusti dazi doganali.</w:t>
      </w:r>
    </w:p>
    <w:p w:rsidR="00FD601E" w:rsidRDefault="00FD601E" w:rsidP="000B2651">
      <w:pPr>
        <w:jc w:val="both"/>
        <w:rPr>
          <w:sz w:val="28"/>
        </w:rPr>
      </w:pPr>
      <w:r>
        <w:rPr>
          <w:sz w:val="28"/>
        </w:rPr>
        <w:t>I capitali erano soprattutto stranieri o meglio francesi, attratti dalle possibilità di guadagno. Sotto Witte si raggiungerà la parità aurea del rublo nel 1897. Witte fu accusato di favorire la subordinazione della Russia a interessi extranazionali. La scelta però era obbligata data la scarsità di risorse monetarie russe.</w:t>
      </w:r>
    </w:p>
    <w:p w:rsidR="00FD601E" w:rsidRDefault="00FD601E" w:rsidP="000B2651">
      <w:pPr>
        <w:jc w:val="both"/>
        <w:rPr>
          <w:sz w:val="28"/>
        </w:rPr>
      </w:pPr>
      <w:r>
        <w:rPr>
          <w:sz w:val="28"/>
        </w:rPr>
        <w:t>Anche Witte ricorse alla tassazione dei beni di consumo (zucchero, vodka e tè) per ottenere un saldo attivo.</w:t>
      </w:r>
    </w:p>
    <w:p w:rsidR="00FD601E" w:rsidRDefault="00FD601E" w:rsidP="000B2651">
      <w:pPr>
        <w:jc w:val="both"/>
        <w:rPr>
          <w:sz w:val="28"/>
        </w:rPr>
      </w:pPr>
    </w:p>
    <w:p w:rsidR="00FD601E" w:rsidRDefault="00FD601E" w:rsidP="000B2651">
      <w:pPr>
        <w:jc w:val="both"/>
        <w:rPr>
          <w:sz w:val="28"/>
        </w:rPr>
      </w:pPr>
      <w:r>
        <w:rPr>
          <w:sz w:val="28"/>
        </w:rPr>
        <w:lastRenderedPageBreak/>
        <w:t>Il ritardo si mostrò in altri settori: industria leggera, chimica e produzione di beni di consumo. L’economia della Russia era di tipo “coloniale”:</w:t>
      </w:r>
    </w:p>
    <w:p w:rsidR="00FD601E" w:rsidRDefault="00FD601E" w:rsidP="000B2651">
      <w:pPr>
        <w:pStyle w:val="Paragrafoelenco"/>
        <w:numPr>
          <w:ilvl w:val="0"/>
          <w:numId w:val="16"/>
        </w:numPr>
        <w:jc w:val="both"/>
        <w:rPr>
          <w:sz w:val="28"/>
        </w:rPr>
      </w:pPr>
      <w:r>
        <w:rPr>
          <w:sz w:val="28"/>
        </w:rPr>
        <w:t>Importava capitali e manufatti stranieri</w:t>
      </w:r>
    </w:p>
    <w:p w:rsidR="00FD601E" w:rsidRDefault="00FD601E" w:rsidP="000B2651">
      <w:pPr>
        <w:pStyle w:val="Paragrafoelenco"/>
        <w:numPr>
          <w:ilvl w:val="0"/>
          <w:numId w:val="16"/>
        </w:numPr>
        <w:jc w:val="both"/>
        <w:rPr>
          <w:sz w:val="28"/>
        </w:rPr>
      </w:pPr>
      <w:r>
        <w:rPr>
          <w:sz w:val="28"/>
        </w:rPr>
        <w:t>Esportava materie prime e agricole</w:t>
      </w:r>
    </w:p>
    <w:p w:rsidR="00FD601E" w:rsidRDefault="00FD601E" w:rsidP="000B2651">
      <w:pPr>
        <w:pStyle w:val="Paragrafoelenco"/>
        <w:numPr>
          <w:ilvl w:val="0"/>
          <w:numId w:val="16"/>
        </w:numPr>
        <w:jc w:val="both"/>
        <w:rPr>
          <w:sz w:val="28"/>
        </w:rPr>
      </w:pPr>
      <w:r>
        <w:rPr>
          <w:sz w:val="28"/>
        </w:rPr>
        <w:t>Manteneva lo status di potenza grazie alla sua forza militare</w:t>
      </w:r>
    </w:p>
    <w:p w:rsidR="00FD601E" w:rsidRDefault="00FD601E" w:rsidP="000B2651">
      <w:pPr>
        <w:jc w:val="both"/>
        <w:rPr>
          <w:sz w:val="28"/>
        </w:rPr>
      </w:pPr>
      <w:r>
        <w:rPr>
          <w:sz w:val="28"/>
        </w:rPr>
        <w:t>Il settore agricolo era il più arretrato e le conseguenze furono evidenti dato che la maggior parte delle persone lavorava in tale settore. I contadini in base alle non facili condizione di emancipazioni erano molto indebitati. Inoltre si evidenziò la scarsità di terre coltivabili data la cattiva gestione dell’emancipazione e dell’esplosione demografica.</w:t>
      </w:r>
      <w:r w:rsidR="00653384">
        <w:rPr>
          <w:sz w:val="28"/>
        </w:rPr>
        <w:t xml:space="preserve"> L’aumento delle popolazione non compensava l’incremento delle terre possedute. Quindi la produttività era bassa e le dimensione dei terreni non erano adatti. Inoltre non vi era stata nessun investimento nell’agricoltura e nei macchinari agricoli e chimici. Erano adottati metodi tradizionali per la coltivazione</w:t>
      </w:r>
    </w:p>
    <w:p w:rsidR="00653384" w:rsidRDefault="00653384" w:rsidP="000B2651">
      <w:pPr>
        <w:jc w:val="both"/>
        <w:rPr>
          <w:sz w:val="28"/>
        </w:rPr>
      </w:pPr>
      <w:r>
        <w:rPr>
          <w:sz w:val="28"/>
        </w:rPr>
        <w:t>In ambito rurale prevalse il conservatorismo:</w:t>
      </w:r>
    </w:p>
    <w:p w:rsidR="00653384" w:rsidRDefault="00653384" w:rsidP="000B2651">
      <w:pPr>
        <w:pStyle w:val="Paragrafoelenco"/>
        <w:numPr>
          <w:ilvl w:val="0"/>
          <w:numId w:val="17"/>
        </w:numPr>
        <w:jc w:val="both"/>
        <w:rPr>
          <w:sz w:val="28"/>
        </w:rPr>
      </w:pPr>
      <w:r w:rsidRPr="00653384">
        <w:rPr>
          <w:sz w:val="28"/>
        </w:rPr>
        <w:t>Per ridurre l’imperante crisi del ceto nobiliare fu stabilità una “Banca fondiaria della nobiltà” in modo da riabilitare il loro ruolo sociale. I nobili avevano</w:t>
      </w:r>
      <w:r>
        <w:rPr>
          <w:sz w:val="28"/>
        </w:rPr>
        <w:t xml:space="preserve"> contratti di credito agevolati;</w:t>
      </w:r>
    </w:p>
    <w:p w:rsidR="00653384" w:rsidRDefault="00653384" w:rsidP="000B2651">
      <w:pPr>
        <w:pStyle w:val="Paragrafoelenco"/>
        <w:numPr>
          <w:ilvl w:val="0"/>
          <w:numId w:val="17"/>
        </w:numPr>
        <w:jc w:val="both"/>
        <w:rPr>
          <w:sz w:val="28"/>
        </w:rPr>
      </w:pPr>
      <w:r>
        <w:rPr>
          <w:sz w:val="28"/>
        </w:rPr>
        <w:t>Favoriva la comunità contadina. Fu promulgata fra 1886 e 1894 una serie di provvedimenti in modo da rafforzare la dipendenza dei singoli contadini dalle deliberazione della comunità;</w:t>
      </w:r>
    </w:p>
    <w:p w:rsidR="00653384" w:rsidRDefault="00653384" w:rsidP="000B2651">
      <w:pPr>
        <w:jc w:val="both"/>
        <w:rPr>
          <w:sz w:val="28"/>
        </w:rPr>
      </w:pPr>
      <w:r>
        <w:rPr>
          <w:sz w:val="28"/>
        </w:rPr>
        <w:t>Witte cercò di risolvere il problema dei contadini:</w:t>
      </w:r>
    </w:p>
    <w:p w:rsidR="00653384" w:rsidRDefault="00653384" w:rsidP="000B2651">
      <w:pPr>
        <w:pStyle w:val="Paragrafoelenco"/>
        <w:numPr>
          <w:ilvl w:val="0"/>
          <w:numId w:val="18"/>
        </w:numPr>
        <w:jc w:val="both"/>
        <w:rPr>
          <w:sz w:val="28"/>
        </w:rPr>
      </w:pPr>
      <w:r>
        <w:rPr>
          <w:sz w:val="28"/>
        </w:rPr>
        <w:t>Nel 1902 istituì il “Comitato speciale per i bisogni dell’agricoltura”</w:t>
      </w:r>
    </w:p>
    <w:p w:rsidR="00653384" w:rsidRDefault="00653384" w:rsidP="000B2651">
      <w:pPr>
        <w:pStyle w:val="Paragrafoelenco"/>
        <w:numPr>
          <w:ilvl w:val="0"/>
          <w:numId w:val="18"/>
        </w:numPr>
        <w:jc w:val="both"/>
        <w:rPr>
          <w:sz w:val="28"/>
        </w:rPr>
      </w:pPr>
      <w:r>
        <w:rPr>
          <w:sz w:val="28"/>
        </w:rPr>
        <w:t>Nel 1903 pose fine alla responsabilità collettiva nel pagamento delle tasse</w:t>
      </w:r>
    </w:p>
    <w:p w:rsidR="00653384" w:rsidRDefault="00653384" w:rsidP="000B2651">
      <w:pPr>
        <w:pStyle w:val="Paragrafoelenco"/>
        <w:numPr>
          <w:ilvl w:val="0"/>
          <w:numId w:val="18"/>
        </w:numPr>
        <w:jc w:val="both"/>
        <w:rPr>
          <w:sz w:val="28"/>
        </w:rPr>
      </w:pPr>
      <w:r>
        <w:rPr>
          <w:sz w:val="28"/>
        </w:rPr>
        <w:t>Nel 1904 cancellò il pagamento degli arretrati delle quote di riscatto: saranno abolite del tutto con la rivoluzione del 1905/1907</w:t>
      </w:r>
    </w:p>
    <w:p w:rsidR="000D044F" w:rsidRDefault="00B21ACF" w:rsidP="000B2651">
      <w:pPr>
        <w:pStyle w:val="Titolo2"/>
        <w:jc w:val="both"/>
        <w:rPr>
          <w:sz w:val="28"/>
        </w:rPr>
      </w:pPr>
      <w:bookmarkStart w:id="10" w:name="_Toc493625435"/>
      <w:r>
        <w:rPr>
          <w:sz w:val="28"/>
        </w:rPr>
        <w:t>Società civile, opinione pubblica, questione sociale</w:t>
      </w:r>
      <w:bookmarkEnd w:id="10"/>
    </w:p>
    <w:p w:rsidR="00B21ACF" w:rsidRDefault="00B21ACF" w:rsidP="000B2651">
      <w:pPr>
        <w:jc w:val="both"/>
        <w:rPr>
          <w:sz w:val="28"/>
        </w:rPr>
      </w:pPr>
      <w:r>
        <w:rPr>
          <w:sz w:val="28"/>
        </w:rPr>
        <w:t>La Russia si può considerare una “società sedimentaria”</w:t>
      </w:r>
      <w:r w:rsidR="004B530A">
        <w:rPr>
          <w:sz w:val="28"/>
        </w:rPr>
        <w:t xml:space="preserve"> in quanto i ceti si sovrapponevano l’uno all’latro senza distruggersi a coesistendo contraddittoriamente. Gli iter riguardanti la questione sono:</w:t>
      </w:r>
    </w:p>
    <w:p w:rsidR="004B530A" w:rsidRDefault="004B530A" w:rsidP="000B2651">
      <w:pPr>
        <w:pStyle w:val="Paragrafoelenco"/>
        <w:numPr>
          <w:ilvl w:val="0"/>
          <w:numId w:val="19"/>
        </w:numPr>
        <w:jc w:val="both"/>
        <w:rPr>
          <w:sz w:val="28"/>
        </w:rPr>
      </w:pPr>
      <w:r>
        <w:rPr>
          <w:sz w:val="28"/>
        </w:rPr>
        <w:t>1722: La Tavola dei Ranghi grazie a Pietro il Grane</w:t>
      </w:r>
    </w:p>
    <w:p w:rsidR="004B530A" w:rsidRDefault="004B530A" w:rsidP="000B2651">
      <w:pPr>
        <w:pStyle w:val="Paragrafoelenco"/>
        <w:numPr>
          <w:ilvl w:val="0"/>
          <w:numId w:val="19"/>
        </w:numPr>
        <w:jc w:val="both"/>
        <w:rPr>
          <w:sz w:val="28"/>
        </w:rPr>
      </w:pPr>
      <w:r>
        <w:rPr>
          <w:sz w:val="28"/>
        </w:rPr>
        <w:lastRenderedPageBreak/>
        <w:t>1775: Carta della nobiltà grazie a Caterina II</w:t>
      </w:r>
    </w:p>
    <w:p w:rsidR="004B530A" w:rsidRPr="004B530A" w:rsidRDefault="004B530A" w:rsidP="000B2651">
      <w:pPr>
        <w:pStyle w:val="Paragrafoelenco"/>
        <w:numPr>
          <w:ilvl w:val="0"/>
          <w:numId w:val="19"/>
        </w:numPr>
        <w:jc w:val="both"/>
        <w:rPr>
          <w:sz w:val="28"/>
        </w:rPr>
      </w:pPr>
      <w:r>
        <w:rPr>
          <w:sz w:val="28"/>
        </w:rPr>
        <w:t>1832: definizione dei</w:t>
      </w:r>
      <w:r>
        <w:rPr>
          <w:i/>
          <w:sz w:val="28"/>
        </w:rPr>
        <w:t xml:space="preserve"> soslovija</w:t>
      </w:r>
      <w:r>
        <w:rPr>
          <w:sz w:val="28"/>
        </w:rPr>
        <w:t xml:space="preserve"> (stati) nello </w:t>
      </w:r>
      <w:r>
        <w:rPr>
          <w:i/>
          <w:sz w:val="28"/>
        </w:rPr>
        <w:t>Svod Zakanov</w:t>
      </w:r>
    </w:p>
    <w:p w:rsidR="004B530A" w:rsidRDefault="004B530A" w:rsidP="000B2651">
      <w:pPr>
        <w:jc w:val="both"/>
        <w:rPr>
          <w:sz w:val="28"/>
        </w:rPr>
      </w:pPr>
      <w:r>
        <w:rPr>
          <w:sz w:val="28"/>
        </w:rPr>
        <w:t>La differenziazione in classi non ha avuto molto importanza dal puto di vista costituzionale. La differenziazione di classe è stata generata da un’iniziativa autocratica in modo da ridefinire i privilegi e le funzioni sociali.</w:t>
      </w:r>
    </w:p>
    <w:p w:rsidR="004B530A" w:rsidRDefault="004B530A" w:rsidP="000B2651">
      <w:pPr>
        <w:jc w:val="both"/>
        <w:rPr>
          <w:sz w:val="28"/>
        </w:rPr>
      </w:pPr>
      <w:r>
        <w:rPr>
          <w:sz w:val="28"/>
        </w:rPr>
        <w:t xml:space="preserve">A fine Settecento i ceti sociali ereditari erano quattro: nobiltà, mercanti, clero e contadini. Il termine </w:t>
      </w:r>
      <w:r>
        <w:rPr>
          <w:i/>
          <w:sz w:val="28"/>
        </w:rPr>
        <w:t xml:space="preserve">soslovie </w:t>
      </w:r>
      <w:r>
        <w:rPr>
          <w:sz w:val="28"/>
        </w:rPr>
        <w:t>è utilizzato a partire dal 1820 ma la terminologia legale rimase fluida. Comunque la legge del 1892 ripartiva così i 4 gruppi:</w:t>
      </w:r>
    </w:p>
    <w:tbl>
      <w:tblPr>
        <w:tblStyle w:val="Grigliatabella"/>
        <w:tblW w:w="0" w:type="auto"/>
        <w:tblLook w:val="04A0"/>
      </w:tblPr>
      <w:tblGrid>
        <w:gridCol w:w="2257"/>
        <w:gridCol w:w="1251"/>
        <w:gridCol w:w="2574"/>
        <w:gridCol w:w="1176"/>
      </w:tblGrid>
      <w:tr w:rsidR="004B530A" w:rsidTr="004B530A">
        <w:tc>
          <w:tcPr>
            <w:tcW w:w="0" w:type="auto"/>
          </w:tcPr>
          <w:p w:rsidR="004B530A" w:rsidRDefault="004B530A" w:rsidP="000B2651">
            <w:pPr>
              <w:jc w:val="both"/>
              <w:rPr>
                <w:sz w:val="28"/>
              </w:rPr>
            </w:pPr>
            <w:r>
              <w:rPr>
                <w:sz w:val="28"/>
              </w:rPr>
              <w:t>Cittadini eminenti</w:t>
            </w:r>
          </w:p>
        </w:tc>
        <w:tc>
          <w:tcPr>
            <w:tcW w:w="0" w:type="auto"/>
          </w:tcPr>
          <w:p w:rsidR="004B530A" w:rsidRDefault="004B530A" w:rsidP="000B2651">
            <w:pPr>
              <w:jc w:val="both"/>
              <w:rPr>
                <w:sz w:val="28"/>
              </w:rPr>
            </w:pPr>
            <w:r>
              <w:rPr>
                <w:sz w:val="28"/>
              </w:rPr>
              <w:t>Mercanti</w:t>
            </w:r>
          </w:p>
        </w:tc>
        <w:tc>
          <w:tcPr>
            <w:tcW w:w="0" w:type="auto"/>
          </w:tcPr>
          <w:p w:rsidR="004B530A" w:rsidRDefault="004B530A" w:rsidP="000B2651">
            <w:pPr>
              <w:jc w:val="both"/>
              <w:rPr>
                <w:sz w:val="28"/>
              </w:rPr>
            </w:pPr>
            <w:r>
              <w:rPr>
                <w:sz w:val="28"/>
              </w:rPr>
              <w:t>Piccoli commercianti</w:t>
            </w:r>
          </w:p>
        </w:tc>
        <w:tc>
          <w:tcPr>
            <w:tcW w:w="0" w:type="auto"/>
          </w:tcPr>
          <w:p w:rsidR="004B530A" w:rsidRDefault="004B530A" w:rsidP="000B2651">
            <w:pPr>
              <w:jc w:val="both"/>
              <w:rPr>
                <w:sz w:val="28"/>
              </w:rPr>
            </w:pPr>
            <w:r>
              <w:rPr>
                <w:sz w:val="28"/>
              </w:rPr>
              <w:t>Artigiani</w:t>
            </w:r>
          </w:p>
        </w:tc>
      </w:tr>
    </w:tbl>
    <w:p w:rsidR="00701C76" w:rsidRDefault="00701C76" w:rsidP="000B2651">
      <w:pPr>
        <w:jc w:val="both"/>
        <w:rPr>
          <w:sz w:val="28"/>
        </w:rPr>
      </w:pPr>
    </w:p>
    <w:p w:rsidR="004B530A" w:rsidRDefault="00701C76" w:rsidP="000B2651">
      <w:pPr>
        <w:jc w:val="both"/>
        <w:rPr>
          <w:sz w:val="28"/>
        </w:rPr>
      </w:pPr>
      <w:r>
        <w:rPr>
          <w:sz w:val="28"/>
        </w:rPr>
        <w:t>Alessandro II introdusse il principio dell’intercetualità (vsesislovnist) nel campo giudiziario, amministrativo, di istruzione e di servizio militare.</w:t>
      </w:r>
    </w:p>
    <w:p w:rsidR="00701C76" w:rsidRDefault="00701C76" w:rsidP="000B2651">
      <w:pPr>
        <w:jc w:val="both"/>
        <w:rPr>
          <w:sz w:val="28"/>
        </w:rPr>
      </w:pPr>
      <w:r>
        <w:rPr>
          <w:sz w:val="28"/>
        </w:rPr>
        <w:t>La società “sedimentaria” divenne un pilastro del sistema fiscale di Alessandro III e del periodo della “Controriforma”. Fu rafforzato il principio cetuale e lo zar rivendicò il principio autocratico del potere e la funzione della nobiltà.</w:t>
      </w:r>
    </w:p>
    <w:p w:rsidR="00701C76" w:rsidRDefault="00701C76" w:rsidP="000B2651">
      <w:pPr>
        <w:jc w:val="both"/>
        <w:rPr>
          <w:sz w:val="28"/>
        </w:rPr>
      </w:pPr>
      <w:r>
        <w:rPr>
          <w:sz w:val="28"/>
        </w:rPr>
        <w:t xml:space="preserve">Durante Nicola II si verifica una crescente frammentazione sociale, data la coesistenza di </w:t>
      </w:r>
      <w:r w:rsidRPr="00701C76">
        <w:rPr>
          <w:i/>
          <w:sz w:val="28"/>
        </w:rPr>
        <w:t>soslovija</w:t>
      </w:r>
      <w:r>
        <w:rPr>
          <w:i/>
          <w:sz w:val="28"/>
        </w:rPr>
        <w:t xml:space="preserve"> </w:t>
      </w:r>
      <w:r>
        <w:rPr>
          <w:sz w:val="28"/>
        </w:rPr>
        <w:t xml:space="preserve"> e classi socioeconomiche. Si formano differenziazioni di ceto, si formano nuovi gruppi sociali professionali, tecnici ed imprenditoriali (vero ceto intermedio). Ma si è lontani alla società moderna.</w:t>
      </w:r>
    </w:p>
    <w:p w:rsidR="00701C76" w:rsidRDefault="00701C76" w:rsidP="000B2651">
      <w:pPr>
        <w:jc w:val="both"/>
        <w:rPr>
          <w:sz w:val="28"/>
        </w:rPr>
      </w:pPr>
      <w:r>
        <w:rPr>
          <w:sz w:val="28"/>
        </w:rPr>
        <w:t>A partire dal 1891, a seguito della carestia, si formerà un uova coscienza dei propri compiti e di critica verso il regime autocratico.</w:t>
      </w:r>
    </w:p>
    <w:p w:rsidR="00701C76" w:rsidRDefault="00701C76" w:rsidP="000B2651">
      <w:pPr>
        <w:jc w:val="both"/>
        <w:rPr>
          <w:sz w:val="28"/>
        </w:rPr>
      </w:pPr>
      <w:r>
        <w:rPr>
          <w:sz w:val="28"/>
        </w:rPr>
        <w:t xml:space="preserve">Negli </w:t>
      </w:r>
      <w:r>
        <w:rPr>
          <w:i/>
          <w:sz w:val="28"/>
        </w:rPr>
        <w:t>zemstva</w:t>
      </w:r>
      <w:r>
        <w:rPr>
          <w:sz w:val="28"/>
        </w:rPr>
        <w:t xml:space="preserve"> l’organizzazione di ospedali, scuole elementari, uffici tecnici aveva dato possibilità di impiego professionale retribuito . La riforma universitaria (Ustav) aveva permesso il costituirsi di libere società scientifiche, culturali e professionali. Il dibattito pubblico aumentò, aumentò l’associazionismo volontario, culturale e professionale. Tutto ciò rompeva la str</w:t>
      </w:r>
      <w:r w:rsidR="009A65A8">
        <w:rPr>
          <w:sz w:val="28"/>
        </w:rPr>
        <w:t xml:space="preserve">atificazione sociale ad esempio promuoveva lo sviluppo di professione, come quella dell’avvocato. I gruppi professionali erano piccoli e molto concentrati: provenivano dalla stesa scuola o università, frequentavano gli stessi “circoli” e si riconoscevano nei valori dell’ </w:t>
      </w:r>
      <w:r w:rsidR="009A65A8">
        <w:rPr>
          <w:i/>
          <w:sz w:val="28"/>
        </w:rPr>
        <w:t>intelligencija</w:t>
      </w:r>
      <w:r w:rsidR="009A65A8">
        <w:rPr>
          <w:sz w:val="28"/>
        </w:rPr>
        <w:t>. Alcuni erano critici verso l’autocrazia altri la volevano riformare.</w:t>
      </w:r>
    </w:p>
    <w:p w:rsidR="009A65A8" w:rsidRDefault="009A65A8" w:rsidP="000B2651">
      <w:pPr>
        <w:jc w:val="both"/>
        <w:rPr>
          <w:sz w:val="28"/>
        </w:rPr>
      </w:pPr>
      <w:r>
        <w:rPr>
          <w:sz w:val="28"/>
        </w:rPr>
        <w:lastRenderedPageBreak/>
        <w:t xml:space="preserve">L’istruzione era un fattore di rottura della “società sedimentaria” e favoriva la crescita della “società civile”: la scuola assume grande posizione negli </w:t>
      </w:r>
      <w:r>
        <w:rPr>
          <w:i/>
          <w:sz w:val="28"/>
        </w:rPr>
        <w:t>zemstva</w:t>
      </w:r>
      <w:r>
        <w:rPr>
          <w:sz w:val="28"/>
        </w:rPr>
        <w:t>. La domanda molti lavori specialisti sollecita la diversificazione delle istituzioni educative. Anche la domanda degli insegnati aumentava e stimolava il sistema educativo.</w:t>
      </w:r>
    </w:p>
    <w:p w:rsidR="009A65A8" w:rsidRDefault="009A65A8" w:rsidP="000B2651">
      <w:pPr>
        <w:jc w:val="both"/>
        <w:rPr>
          <w:sz w:val="28"/>
        </w:rPr>
      </w:pPr>
      <w:r>
        <w:rPr>
          <w:sz w:val="28"/>
        </w:rPr>
        <w:t>La diversificazione della società alfabetizzata accresceva le opportunità del mercato editoriale: il giornale divenne un impresa commerciale di massa. I giornali erano sia pubblici e sia privati (orientamenti progressisti, popolari, conservatori). L’opinione pubblica divenne articolata, soprattutto dell’editoria, che contenderà il potere all’autocrazia e alla burocrazia.</w:t>
      </w:r>
    </w:p>
    <w:p w:rsidR="009A65A8" w:rsidRDefault="009A65A8" w:rsidP="000B2651">
      <w:pPr>
        <w:jc w:val="both"/>
        <w:rPr>
          <w:sz w:val="28"/>
        </w:rPr>
      </w:pPr>
      <w:r>
        <w:rPr>
          <w:sz w:val="28"/>
        </w:rPr>
        <w:t xml:space="preserve">Il ceto contadino conosce processi di differenziazione e frammentazione. L’urbanizzazione porta allo sviluppo della classe operaia concentrata in grandi fabbriche e città, come San Pietroburgo, molto vicina alla propaganda socialista. </w:t>
      </w:r>
      <w:r w:rsidR="00C14FF0">
        <w:rPr>
          <w:sz w:val="28"/>
        </w:rPr>
        <w:t>Gli operai-contadini vivevano in condizioni pessime e d’estate svolgevano il lavoro stagionale in campagna.</w:t>
      </w:r>
    </w:p>
    <w:p w:rsidR="00C14FF0" w:rsidRDefault="00C14FF0" w:rsidP="000B2651">
      <w:pPr>
        <w:jc w:val="both"/>
        <w:rPr>
          <w:sz w:val="28"/>
        </w:rPr>
      </w:pPr>
      <w:r>
        <w:rPr>
          <w:sz w:val="28"/>
        </w:rPr>
        <w:t xml:space="preserve">Nel 1896-97 si svolsero gli scioperi generali dei tessili a San Pietroburgo, guidati dai socialdemocratici di </w:t>
      </w:r>
      <w:r>
        <w:rPr>
          <w:i/>
          <w:sz w:val="28"/>
        </w:rPr>
        <w:t>Lega di lotta</w:t>
      </w:r>
      <w:r>
        <w:rPr>
          <w:sz w:val="28"/>
        </w:rPr>
        <w:t xml:space="preserve">. La giornata lavorativa fu ridotta dal governo da 13 a 11 ore e mezzo (10 ore il sabato e i pre-festivi). </w:t>
      </w:r>
    </w:p>
    <w:p w:rsidR="00C14FF0" w:rsidRDefault="00C14FF0" w:rsidP="000B2651">
      <w:pPr>
        <w:jc w:val="both"/>
        <w:rPr>
          <w:sz w:val="28"/>
        </w:rPr>
      </w:pPr>
      <w:r>
        <w:rPr>
          <w:sz w:val="28"/>
        </w:rPr>
        <w:t>La polizia segreta zarista e il ministero dell’Interno provarono a organizzare un sindacato operaio controllato dal governo con a capo Sergej Zubatov. L’esperimento passò alla storia</w:t>
      </w:r>
      <w:r w:rsidR="00F44CF0">
        <w:rPr>
          <w:sz w:val="28"/>
        </w:rPr>
        <w:t xml:space="preserve"> con il nome di zubatovscina. Il progetto fu abbandonato dopo lo sciopero generale di Odessa nel 1903. Tale organizzazione poteva rapidamente sfuggire al controllo della polizia ed era fonte di instabilità sociale.</w:t>
      </w:r>
    </w:p>
    <w:p w:rsidR="00F44CF0" w:rsidRPr="00C14FF0" w:rsidRDefault="00F44CF0" w:rsidP="000B2651">
      <w:pPr>
        <w:pStyle w:val="Titolo2"/>
        <w:jc w:val="both"/>
      </w:pPr>
      <w:bookmarkStart w:id="11" w:name="_Toc493625436"/>
      <w:r w:rsidRPr="009F11B8">
        <w:rPr>
          <w:sz w:val="28"/>
        </w:rPr>
        <w:t>Dalla crisi del populismo alla formazione dei parti</w:t>
      </w:r>
      <w:r>
        <w:t>ti</w:t>
      </w:r>
      <w:bookmarkEnd w:id="11"/>
    </w:p>
    <w:p w:rsidR="009F11B8" w:rsidRDefault="009F11B8" w:rsidP="000B2651">
      <w:pPr>
        <w:jc w:val="both"/>
        <w:rPr>
          <w:sz w:val="28"/>
        </w:rPr>
      </w:pPr>
      <w:r>
        <w:rPr>
          <w:sz w:val="28"/>
        </w:rPr>
        <w:t xml:space="preserve"> </w:t>
      </w:r>
    </w:p>
    <w:p w:rsidR="004B530A" w:rsidRDefault="009F11B8" w:rsidP="000B2651">
      <w:pPr>
        <w:jc w:val="both"/>
        <w:rPr>
          <w:sz w:val="28"/>
        </w:rPr>
      </w:pPr>
      <w:r>
        <w:rPr>
          <w:sz w:val="28"/>
        </w:rPr>
        <w:t>Il populismo rivoluzionario andò in crisi per varie cause:</w:t>
      </w:r>
    </w:p>
    <w:tbl>
      <w:tblPr>
        <w:tblStyle w:val="Grigliatabella"/>
        <w:tblW w:w="0" w:type="auto"/>
        <w:tblLook w:val="04A0"/>
      </w:tblPr>
      <w:tblGrid>
        <w:gridCol w:w="3501"/>
        <w:gridCol w:w="3105"/>
        <w:gridCol w:w="3248"/>
      </w:tblGrid>
      <w:tr w:rsidR="009F11B8" w:rsidTr="009F11B8">
        <w:tc>
          <w:tcPr>
            <w:tcW w:w="0" w:type="auto"/>
          </w:tcPr>
          <w:p w:rsidR="009F11B8" w:rsidRDefault="009F11B8" w:rsidP="000B2651">
            <w:pPr>
              <w:jc w:val="both"/>
              <w:rPr>
                <w:sz w:val="28"/>
              </w:rPr>
            </w:pPr>
            <w:r>
              <w:rPr>
                <w:sz w:val="28"/>
              </w:rPr>
              <w:t>Indifferenza dei contadini alla notizia dell’attentato dello zar Alessandro II</w:t>
            </w:r>
          </w:p>
        </w:tc>
        <w:tc>
          <w:tcPr>
            <w:tcW w:w="0" w:type="auto"/>
          </w:tcPr>
          <w:p w:rsidR="009F11B8" w:rsidRDefault="009F11B8" w:rsidP="000B2651">
            <w:pPr>
              <w:jc w:val="both"/>
              <w:rPr>
                <w:sz w:val="28"/>
              </w:rPr>
            </w:pPr>
            <w:r>
              <w:rPr>
                <w:sz w:val="28"/>
              </w:rPr>
              <w:t>Repressione efferata dello Stato nella lotta al terrorismo politico</w:t>
            </w:r>
          </w:p>
        </w:tc>
        <w:tc>
          <w:tcPr>
            <w:tcW w:w="0" w:type="auto"/>
          </w:tcPr>
          <w:p w:rsidR="009F11B8" w:rsidRDefault="009F11B8" w:rsidP="000B2651">
            <w:pPr>
              <w:jc w:val="both"/>
              <w:rPr>
                <w:sz w:val="28"/>
              </w:rPr>
            </w:pPr>
            <w:r>
              <w:rPr>
                <w:sz w:val="28"/>
              </w:rPr>
              <w:t>Indignazione della società colta per l’uccisione dello “zar liberatore”</w:t>
            </w:r>
          </w:p>
        </w:tc>
      </w:tr>
    </w:tbl>
    <w:p w:rsidR="001C4161" w:rsidRDefault="001C4161" w:rsidP="000B2651">
      <w:pPr>
        <w:jc w:val="both"/>
        <w:rPr>
          <w:sz w:val="28"/>
        </w:rPr>
      </w:pPr>
    </w:p>
    <w:p w:rsidR="001C4161" w:rsidRDefault="001C4161" w:rsidP="000B2651">
      <w:pPr>
        <w:jc w:val="both"/>
        <w:rPr>
          <w:sz w:val="28"/>
        </w:rPr>
      </w:pPr>
      <w:r>
        <w:rPr>
          <w:sz w:val="28"/>
        </w:rPr>
        <w:lastRenderedPageBreak/>
        <w:t xml:space="preserve">Alcuni gruppi tentarono di rivivere l’attività cospirativa di </w:t>
      </w:r>
      <w:r>
        <w:rPr>
          <w:i/>
          <w:sz w:val="28"/>
        </w:rPr>
        <w:t>Narodnaja volja</w:t>
      </w:r>
      <w:r>
        <w:rPr>
          <w:sz w:val="28"/>
        </w:rPr>
        <w:t>. Ma a partire degli anni 1870 si diffusero vari orientamenti: il socialismo, marxista, il “populismo legale” e il nuovo socialismo rivoluzionario.</w:t>
      </w:r>
    </w:p>
    <w:p w:rsidR="001C4161" w:rsidRDefault="001C4161" w:rsidP="000B2651">
      <w:pPr>
        <w:jc w:val="both"/>
        <w:rPr>
          <w:b/>
          <w:sz w:val="28"/>
        </w:rPr>
      </w:pPr>
    </w:p>
    <w:p w:rsidR="001C4161" w:rsidRDefault="001C4161" w:rsidP="000B2651">
      <w:pPr>
        <w:tabs>
          <w:tab w:val="left" w:pos="2980"/>
        </w:tabs>
        <w:jc w:val="both"/>
        <w:rPr>
          <w:b/>
          <w:sz w:val="28"/>
        </w:rPr>
      </w:pPr>
      <w:r>
        <w:rPr>
          <w:b/>
          <w:sz w:val="28"/>
        </w:rPr>
        <w:t>Socialismo marxista:</w:t>
      </w:r>
      <w:r>
        <w:rPr>
          <w:b/>
          <w:sz w:val="28"/>
        </w:rPr>
        <w:tab/>
      </w:r>
    </w:p>
    <w:p w:rsidR="001C4161" w:rsidRDefault="001C4161" w:rsidP="000B2651">
      <w:pPr>
        <w:tabs>
          <w:tab w:val="left" w:pos="2980"/>
        </w:tabs>
        <w:jc w:val="both"/>
        <w:rPr>
          <w:sz w:val="28"/>
        </w:rPr>
      </w:pPr>
      <w:r>
        <w:rPr>
          <w:sz w:val="28"/>
        </w:rPr>
        <w:t xml:space="preserve">Il nucleo di Ripartizione nera fondò nel 1883 a Ginevra </w:t>
      </w:r>
      <w:r>
        <w:rPr>
          <w:i/>
          <w:sz w:val="28"/>
        </w:rPr>
        <w:t>Osvobozdenie truda</w:t>
      </w:r>
      <w:r>
        <w:rPr>
          <w:sz w:val="28"/>
        </w:rPr>
        <w:t xml:space="preserve"> (pronuncia: Ozvabashidinie trudà) (Liberazione del lavoro), 1° organizzazione di marxisti russi. Gli esponenti di spicco erano: Georgij Plechanov (Plejanof), Pavel Akesel’rod, Vera Zazulic (Sasulic).</w:t>
      </w:r>
    </w:p>
    <w:p w:rsidR="001C4161" w:rsidRDefault="001C4161" w:rsidP="000B2651">
      <w:pPr>
        <w:tabs>
          <w:tab w:val="left" w:pos="2980"/>
          <w:tab w:val="left" w:pos="8089"/>
        </w:tabs>
        <w:jc w:val="both"/>
      </w:pPr>
      <w:r>
        <w:rPr>
          <w:noProof/>
        </w:rPr>
        <w:drawing>
          <wp:inline distT="0" distB="0" distL="0" distR="0">
            <wp:extent cx="1709411" cy="2058451"/>
            <wp:effectExtent l="19050" t="0" r="5089" b="0"/>
            <wp:docPr id="199" name="Immagine 199" descr="Risultati immagini per plech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Risultati immagini per plechanov"/>
                    <pic:cNvPicPr>
                      <a:picLocks noChangeAspect="1" noChangeArrowheads="1"/>
                    </pic:cNvPicPr>
                  </pic:nvPicPr>
                  <pic:blipFill>
                    <a:blip r:embed="rId65"/>
                    <a:srcRect/>
                    <a:stretch>
                      <a:fillRect/>
                    </a:stretch>
                  </pic:blipFill>
                  <pic:spPr bwMode="auto">
                    <a:xfrm>
                      <a:off x="0" y="0"/>
                      <a:ext cx="1716483" cy="2066967"/>
                    </a:xfrm>
                    <a:prstGeom prst="rect">
                      <a:avLst/>
                    </a:prstGeom>
                    <a:noFill/>
                    <a:ln w="9525">
                      <a:noFill/>
                      <a:miter lim="800000"/>
                      <a:headEnd/>
                      <a:tailEnd/>
                    </a:ln>
                  </pic:spPr>
                </pic:pic>
              </a:graphicData>
            </a:graphic>
          </wp:inline>
        </w:drawing>
      </w:r>
      <w:r w:rsidRPr="001C4161">
        <w:t xml:space="preserve"> </w:t>
      </w:r>
      <w:r>
        <w:rPr>
          <w:noProof/>
        </w:rPr>
        <w:drawing>
          <wp:inline distT="0" distB="0" distL="0" distR="0">
            <wp:extent cx="1526650" cy="2064164"/>
            <wp:effectExtent l="19050" t="0" r="0" b="0"/>
            <wp:docPr id="202" name="Immagine 202" descr="Risultati immagini per pavel axelr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Risultati immagini per pavel axelrod"/>
                    <pic:cNvPicPr>
                      <a:picLocks noChangeAspect="1" noChangeArrowheads="1"/>
                    </pic:cNvPicPr>
                  </pic:nvPicPr>
                  <pic:blipFill>
                    <a:blip r:embed="rId66"/>
                    <a:srcRect/>
                    <a:stretch>
                      <a:fillRect/>
                    </a:stretch>
                  </pic:blipFill>
                  <pic:spPr bwMode="auto">
                    <a:xfrm>
                      <a:off x="0" y="0"/>
                      <a:ext cx="1533689" cy="2073682"/>
                    </a:xfrm>
                    <a:prstGeom prst="rect">
                      <a:avLst/>
                    </a:prstGeom>
                    <a:noFill/>
                    <a:ln w="9525">
                      <a:noFill/>
                      <a:miter lim="800000"/>
                      <a:headEnd/>
                      <a:tailEnd/>
                    </a:ln>
                  </pic:spPr>
                </pic:pic>
              </a:graphicData>
            </a:graphic>
          </wp:inline>
        </w:drawing>
      </w:r>
      <w:r w:rsidRPr="001C4161">
        <w:t xml:space="preserve"> </w:t>
      </w:r>
      <w:r>
        <w:rPr>
          <w:noProof/>
        </w:rPr>
        <w:drawing>
          <wp:inline distT="0" distB="0" distL="0" distR="0">
            <wp:extent cx="1471295" cy="2059305"/>
            <wp:effectExtent l="19050" t="0" r="0" b="0"/>
            <wp:docPr id="205" name="Immagine 205" descr="https://upload.wikimedia.org/wikipedia/commons/a/aa/Vera_Zasulic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upload.wikimedia.org/wikipedia/commons/a/aa/Vera_Zasulic_2.jpg"/>
                    <pic:cNvPicPr>
                      <a:picLocks noChangeAspect="1" noChangeArrowheads="1"/>
                    </pic:cNvPicPr>
                  </pic:nvPicPr>
                  <pic:blipFill>
                    <a:blip r:embed="rId67"/>
                    <a:srcRect/>
                    <a:stretch>
                      <a:fillRect/>
                    </a:stretch>
                  </pic:blipFill>
                  <pic:spPr bwMode="auto">
                    <a:xfrm>
                      <a:off x="0" y="0"/>
                      <a:ext cx="1471295" cy="2059305"/>
                    </a:xfrm>
                    <a:prstGeom prst="rect">
                      <a:avLst/>
                    </a:prstGeom>
                    <a:noFill/>
                    <a:ln w="9525">
                      <a:noFill/>
                      <a:miter lim="800000"/>
                      <a:headEnd/>
                      <a:tailEnd/>
                    </a:ln>
                  </pic:spPr>
                </pic:pic>
              </a:graphicData>
            </a:graphic>
          </wp:inline>
        </w:drawing>
      </w:r>
    </w:p>
    <w:p w:rsidR="001C4161" w:rsidRDefault="001C4161" w:rsidP="000B2651">
      <w:pPr>
        <w:tabs>
          <w:tab w:val="left" w:pos="2980"/>
          <w:tab w:val="left" w:pos="8089"/>
        </w:tabs>
        <w:jc w:val="both"/>
        <w:rPr>
          <w:sz w:val="28"/>
        </w:rPr>
      </w:pPr>
      <w:r>
        <w:rPr>
          <w:sz w:val="28"/>
        </w:rPr>
        <w:t>L’approccio ide</w:t>
      </w:r>
      <w:r w:rsidR="00095DF1">
        <w:rPr>
          <w:sz w:val="28"/>
        </w:rPr>
        <w:t>ologico di Plechanov era</w:t>
      </w:r>
      <w:r>
        <w:rPr>
          <w:sz w:val="28"/>
        </w:rPr>
        <w:t xml:space="preserve"> ripudio del terrorismo, lotta politica di massa</w:t>
      </w:r>
      <w:r w:rsidR="00095DF1">
        <w:rPr>
          <w:sz w:val="28"/>
        </w:rPr>
        <w:t>, centralità della classe operaia, inevitabilità dello sviluppo del capitalismo in Russia, dissoluzione della comunità contadine, affermazione della società borghese prima dell’avvento socialista.</w:t>
      </w:r>
    </w:p>
    <w:p w:rsidR="00095DF1" w:rsidRDefault="00095DF1" w:rsidP="000B2651">
      <w:pPr>
        <w:tabs>
          <w:tab w:val="left" w:pos="2980"/>
          <w:tab w:val="left" w:pos="8089"/>
        </w:tabs>
        <w:jc w:val="both"/>
        <w:rPr>
          <w:sz w:val="28"/>
        </w:rPr>
      </w:pPr>
      <w:r>
        <w:rPr>
          <w:sz w:val="28"/>
        </w:rPr>
        <w:t xml:space="preserve">Questa visione </w:t>
      </w:r>
      <w:r w:rsidR="00E433AC">
        <w:rPr>
          <w:sz w:val="28"/>
        </w:rPr>
        <w:t xml:space="preserve"> si diffuse fra la Lega dei socialdemocratici russi nel 1894: questa attività era svolta all’estero tramite propaganda rivolta alla classe operaia.</w:t>
      </w:r>
    </w:p>
    <w:p w:rsidR="00E433AC" w:rsidRDefault="00E433AC" w:rsidP="000B2651">
      <w:pPr>
        <w:tabs>
          <w:tab w:val="left" w:pos="2980"/>
          <w:tab w:val="left" w:pos="8089"/>
        </w:tabs>
        <w:jc w:val="both"/>
        <w:rPr>
          <w:sz w:val="28"/>
        </w:rPr>
      </w:pPr>
      <w:r>
        <w:rPr>
          <w:sz w:val="28"/>
        </w:rPr>
        <w:t xml:space="preserve">Nel 1895 si formò </w:t>
      </w:r>
      <w:r>
        <w:rPr>
          <w:i/>
          <w:sz w:val="28"/>
        </w:rPr>
        <w:t>Lega d lotta per la liberazione della classe operaia</w:t>
      </w:r>
      <w:r>
        <w:rPr>
          <w:sz w:val="28"/>
        </w:rPr>
        <w:t>, formata da Julij Marov e Vladimir Ilic Lenin. Lenin fu arrestato e inviato in Siberia, poi nel 1900 andò in esilio. Lenin insieme a Martov Plechanov</w:t>
      </w:r>
      <w:r w:rsidR="00E723F3">
        <w:rPr>
          <w:sz w:val="28"/>
        </w:rPr>
        <w:t xml:space="preserve"> fondò il giornale “Iskra”</w:t>
      </w:r>
      <w:r w:rsidR="00085422">
        <w:rPr>
          <w:sz w:val="28"/>
        </w:rPr>
        <w:t xml:space="preserve"> (la Scintilla): obiettivo della testata era unificare la socialdemocrazia in Russia.</w:t>
      </w:r>
    </w:p>
    <w:p w:rsidR="00085422" w:rsidRPr="00085422" w:rsidRDefault="00085422" w:rsidP="000B2651">
      <w:pPr>
        <w:tabs>
          <w:tab w:val="left" w:pos="2980"/>
          <w:tab w:val="left" w:pos="8089"/>
        </w:tabs>
        <w:jc w:val="both"/>
        <w:rPr>
          <w:sz w:val="28"/>
        </w:rPr>
      </w:pPr>
      <w:r>
        <w:rPr>
          <w:sz w:val="28"/>
        </w:rPr>
        <w:t xml:space="preserve">Il </w:t>
      </w:r>
      <w:r>
        <w:rPr>
          <w:i/>
          <w:sz w:val="28"/>
        </w:rPr>
        <w:t>POSDR</w:t>
      </w:r>
      <w:r>
        <w:rPr>
          <w:sz w:val="28"/>
        </w:rPr>
        <w:t xml:space="preserve"> (Partito operaio socialdemocratico russo) svolto a Minsk nel 1898 vide la partecipazione di 9 delegati: le sezioni cittadine della Lega di Lotta ora divenivano un partito. Il programma minimo era la rivoluzione democratico-borghese e l’autocrazia, invece, il programma massimo era la rivoluzione proletaria. Il </w:t>
      </w:r>
      <w:r>
        <w:rPr>
          <w:sz w:val="28"/>
        </w:rPr>
        <w:lastRenderedPageBreak/>
        <w:t>programma fu presentato al 2° congresso del POSDR a Bruxelles e Londra. La divergenza dello statuto, concernente l’organizzazione del partito e i suoi membri, provocò la spaccatura fra i seguaci di Lenin (Bolscevichi) e i sostenitori di Martov (Menscevichi) che invano Plechanov cercò di ricomporre.</w:t>
      </w:r>
    </w:p>
    <w:p w:rsidR="00E433AC" w:rsidRPr="001C4161" w:rsidRDefault="00E433AC" w:rsidP="000B2651">
      <w:pPr>
        <w:jc w:val="both"/>
        <w:rPr>
          <w:sz w:val="28"/>
        </w:rPr>
      </w:pPr>
    </w:p>
    <w:p w:rsidR="00E433AC" w:rsidRDefault="00E433AC" w:rsidP="000B2651">
      <w:pPr>
        <w:tabs>
          <w:tab w:val="left" w:pos="2980"/>
          <w:tab w:val="left" w:pos="8089"/>
        </w:tabs>
        <w:jc w:val="both"/>
        <w:rPr>
          <w:sz w:val="28"/>
        </w:rPr>
      </w:pPr>
    </w:p>
    <w:p w:rsidR="00F11734" w:rsidRPr="00F11734" w:rsidRDefault="00E433AC" w:rsidP="000B2651">
      <w:pPr>
        <w:tabs>
          <w:tab w:val="left" w:pos="2980"/>
          <w:tab w:val="left" w:pos="8089"/>
        </w:tabs>
        <w:jc w:val="both"/>
        <w:rPr>
          <w:sz w:val="28"/>
        </w:rPr>
      </w:pPr>
      <w:r>
        <w:rPr>
          <w:noProof/>
        </w:rPr>
        <w:drawing>
          <wp:inline distT="0" distB="0" distL="0" distR="0">
            <wp:extent cx="5849012" cy="3419684"/>
            <wp:effectExtent l="19050" t="0" r="0" b="0"/>
            <wp:docPr id="208" name="Immagine 208" descr="https://upload.wikimedia.org/wikipedia/commons/9/90/Union-de-Luch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upload.wikimedia.org/wikipedia/commons/9/90/Union-de-Lucha.jpg"/>
                    <pic:cNvPicPr>
                      <a:picLocks noChangeAspect="1" noChangeArrowheads="1"/>
                    </pic:cNvPicPr>
                  </pic:nvPicPr>
                  <pic:blipFill>
                    <a:blip r:embed="rId68"/>
                    <a:srcRect/>
                    <a:stretch>
                      <a:fillRect/>
                    </a:stretch>
                  </pic:blipFill>
                  <pic:spPr bwMode="auto">
                    <a:xfrm>
                      <a:off x="0" y="0"/>
                      <a:ext cx="5869353" cy="3431577"/>
                    </a:xfrm>
                    <a:prstGeom prst="rect">
                      <a:avLst/>
                    </a:prstGeom>
                    <a:noFill/>
                    <a:ln w="9525">
                      <a:noFill/>
                      <a:miter lim="800000"/>
                      <a:headEnd/>
                      <a:tailEnd/>
                    </a:ln>
                  </pic:spPr>
                </pic:pic>
              </a:graphicData>
            </a:graphic>
          </wp:inline>
        </w:drawing>
      </w:r>
      <w:r>
        <w:rPr>
          <w:rStyle w:val="Rimandonotaapidipagina"/>
          <w:sz w:val="28"/>
        </w:rPr>
        <w:footnoteReference w:id="17"/>
      </w:r>
      <w:r w:rsidR="00F11734">
        <w:rPr>
          <w:noProof/>
        </w:rPr>
        <w:drawing>
          <wp:inline distT="0" distB="0" distL="0" distR="0">
            <wp:extent cx="2170828" cy="2449002"/>
            <wp:effectExtent l="19050" t="0" r="872" b="0"/>
            <wp:docPr id="211" name="Immagine 211" descr="https://i.pinimg.com/originals/fd/d4/08/fdd408ee25d7518edf56b5d7e20f8fa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i.pinimg.com/originals/fd/d4/08/fdd408ee25d7518edf56b5d7e20f8fa9.jpg"/>
                    <pic:cNvPicPr>
                      <a:picLocks noChangeAspect="1" noChangeArrowheads="1"/>
                    </pic:cNvPicPr>
                  </pic:nvPicPr>
                  <pic:blipFill>
                    <a:blip r:embed="rId69"/>
                    <a:srcRect/>
                    <a:stretch>
                      <a:fillRect/>
                    </a:stretch>
                  </pic:blipFill>
                  <pic:spPr bwMode="auto">
                    <a:xfrm>
                      <a:off x="0" y="0"/>
                      <a:ext cx="2174522" cy="2453169"/>
                    </a:xfrm>
                    <a:prstGeom prst="rect">
                      <a:avLst/>
                    </a:prstGeom>
                    <a:noFill/>
                    <a:ln w="9525">
                      <a:noFill/>
                      <a:miter lim="800000"/>
                      <a:headEnd/>
                      <a:tailEnd/>
                    </a:ln>
                  </pic:spPr>
                </pic:pic>
              </a:graphicData>
            </a:graphic>
          </wp:inline>
        </w:drawing>
      </w:r>
      <w:r w:rsidR="00F11734" w:rsidRPr="00F11734">
        <w:t xml:space="preserve"> </w:t>
      </w:r>
      <w:r w:rsidR="00F11734">
        <w:rPr>
          <w:sz w:val="28"/>
        </w:rPr>
        <w:t>Lenin</w:t>
      </w:r>
      <w:r w:rsidR="00F11734">
        <w:rPr>
          <w:noProof/>
        </w:rPr>
        <w:drawing>
          <wp:inline distT="0" distB="0" distL="0" distR="0">
            <wp:extent cx="2099310" cy="2449195"/>
            <wp:effectExtent l="19050" t="0" r="0" b="0"/>
            <wp:docPr id="214" name="Immagine 214" descr="https://upload.wikimedia.org/wikipedia/commons/thumb/3/32/YuliMartovEnero1896FotoPolicial.jpg/220px-YuliMartovEnero1896FotoPolic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upload.wikimedia.org/wikipedia/commons/thumb/3/32/YuliMartovEnero1896FotoPolicial.jpg/220px-YuliMartovEnero1896FotoPolicial.jpg"/>
                    <pic:cNvPicPr>
                      <a:picLocks noChangeAspect="1" noChangeArrowheads="1"/>
                    </pic:cNvPicPr>
                  </pic:nvPicPr>
                  <pic:blipFill>
                    <a:blip r:embed="rId70"/>
                    <a:srcRect/>
                    <a:stretch>
                      <a:fillRect/>
                    </a:stretch>
                  </pic:blipFill>
                  <pic:spPr bwMode="auto">
                    <a:xfrm>
                      <a:off x="0" y="0"/>
                      <a:ext cx="2099310" cy="2449195"/>
                    </a:xfrm>
                    <a:prstGeom prst="rect">
                      <a:avLst/>
                    </a:prstGeom>
                    <a:noFill/>
                    <a:ln w="9525">
                      <a:noFill/>
                      <a:miter lim="800000"/>
                      <a:headEnd/>
                      <a:tailEnd/>
                    </a:ln>
                  </pic:spPr>
                </pic:pic>
              </a:graphicData>
            </a:graphic>
          </wp:inline>
        </w:drawing>
      </w:r>
      <w:r w:rsidR="00F11734">
        <w:rPr>
          <w:sz w:val="28"/>
        </w:rPr>
        <w:t>Martov</w:t>
      </w:r>
    </w:p>
    <w:p w:rsidR="00112CFF" w:rsidRDefault="00112CFF" w:rsidP="000B2651">
      <w:pPr>
        <w:tabs>
          <w:tab w:val="left" w:pos="2980"/>
          <w:tab w:val="left" w:pos="8089"/>
        </w:tabs>
        <w:jc w:val="both"/>
        <w:rPr>
          <w:b/>
          <w:sz w:val="28"/>
        </w:rPr>
      </w:pPr>
    </w:p>
    <w:p w:rsidR="00085422" w:rsidRDefault="00085422" w:rsidP="000B2651">
      <w:pPr>
        <w:tabs>
          <w:tab w:val="left" w:pos="2980"/>
          <w:tab w:val="left" w:pos="8089"/>
        </w:tabs>
        <w:jc w:val="both"/>
        <w:rPr>
          <w:b/>
          <w:sz w:val="28"/>
        </w:rPr>
      </w:pPr>
      <w:r>
        <w:rPr>
          <w:b/>
          <w:sz w:val="28"/>
        </w:rPr>
        <w:lastRenderedPageBreak/>
        <w:t>Populismo “legale”</w:t>
      </w:r>
    </w:p>
    <w:p w:rsidR="007013D7" w:rsidRDefault="007013D7" w:rsidP="000B2651">
      <w:pPr>
        <w:tabs>
          <w:tab w:val="left" w:pos="2980"/>
          <w:tab w:val="left" w:pos="8089"/>
        </w:tabs>
        <w:jc w:val="both"/>
        <w:rPr>
          <w:sz w:val="28"/>
        </w:rPr>
      </w:pPr>
      <w:r>
        <w:rPr>
          <w:sz w:val="28"/>
        </w:rPr>
        <w:t xml:space="preserve">Il “populismo legale” di Vasilij Voroncov  e Nikolaj Danielson rompeva con l’esperienza di </w:t>
      </w:r>
      <w:r>
        <w:rPr>
          <w:i/>
          <w:sz w:val="28"/>
        </w:rPr>
        <w:t>Narodnaja volja.</w:t>
      </w:r>
      <w:r>
        <w:rPr>
          <w:sz w:val="28"/>
        </w:rPr>
        <w:t xml:space="preserve"> Non si soffermava sulla lotta politica ma sulle trasformazioni economiche e sociali. Ind</w:t>
      </w:r>
      <w:r w:rsidR="005E1915">
        <w:rPr>
          <w:sz w:val="28"/>
        </w:rPr>
        <w:t>i</w:t>
      </w:r>
      <w:r>
        <w:rPr>
          <w:sz w:val="28"/>
        </w:rPr>
        <w:t>cavano uno sviluppo alternati</w:t>
      </w:r>
      <w:r w:rsidR="005E1915">
        <w:rPr>
          <w:sz w:val="28"/>
        </w:rPr>
        <w:t>vo al capitalismo, alla proletarizzazione, alle diseguaglianze, allo sfruttamento.</w:t>
      </w:r>
    </w:p>
    <w:p w:rsidR="005E1915" w:rsidRPr="005E1915" w:rsidRDefault="005E1915" w:rsidP="000B2651">
      <w:pPr>
        <w:tabs>
          <w:tab w:val="left" w:pos="2980"/>
          <w:tab w:val="left" w:pos="8089"/>
        </w:tabs>
        <w:jc w:val="both"/>
        <w:rPr>
          <w:sz w:val="28"/>
        </w:rPr>
      </w:pPr>
      <w:r>
        <w:rPr>
          <w:sz w:val="28"/>
        </w:rPr>
        <w:t>Le sorti del capitalismo e il destino dell’</w:t>
      </w:r>
      <w:r>
        <w:rPr>
          <w:i/>
          <w:sz w:val="28"/>
        </w:rPr>
        <w:t>obscina</w:t>
      </w:r>
      <w:r>
        <w:rPr>
          <w:sz w:val="28"/>
        </w:rPr>
        <w:t>, ritenuta il fulcro di un’economia contadina che potesse essere anche la base economica e sociale, furono i temi dibattuti fra marxismo e populisti</w:t>
      </w:r>
    </w:p>
    <w:p w:rsidR="00F11734" w:rsidRDefault="007013D7" w:rsidP="000B2651">
      <w:pPr>
        <w:tabs>
          <w:tab w:val="left" w:pos="2980"/>
          <w:tab w:val="left" w:pos="8089"/>
        </w:tabs>
        <w:jc w:val="both"/>
        <w:rPr>
          <w:b/>
          <w:sz w:val="28"/>
        </w:rPr>
      </w:pPr>
      <w:r>
        <w:rPr>
          <w:noProof/>
        </w:rPr>
        <w:drawing>
          <wp:inline distT="0" distB="0" distL="0" distR="0">
            <wp:extent cx="1423695" cy="1598212"/>
            <wp:effectExtent l="19050" t="0" r="5055" b="0"/>
            <wp:docPr id="217" name="Immagine 217" descr="Voroncov, Vasilij Pavlovi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Voroncov, Vasilij Pavlovich.jpg"/>
                    <pic:cNvPicPr>
                      <a:picLocks noChangeAspect="1" noChangeArrowheads="1"/>
                    </pic:cNvPicPr>
                  </pic:nvPicPr>
                  <pic:blipFill>
                    <a:blip r:embed="rId71"/>
                    <a:srcRect/>
                    <a:stretch>
                      <a:fillRect/>
                    </a:stretch>
                  </pic:blipFill>
                  <pic:spPr bwMode="auto">
                    <a:xfrm>
                      <a:off x="0" y="0"/>
                      <a:ext cx="1423621" cy="1598129"/>
                    </a:xfrm>
                    <a:prstGeom prst="rect">
                      <a:avLst/>
                    </a:prstGeom>
                    <a:noFill/>
                    <a:ln w="9525">
                      <a:noFill/>
                      <a:miter lim="800000"/>
                      <a:headEnd/>
                      <a:tailEnd/>
                    </a:ln>
                  </pic:spPr>
                </pic:pic>
              </a:graphicData>
            </a:graphic>
          </wp:inline>
        </w:drawing>
      </w:r>
      <w:r w:rsidRPr="007013D7">
        <w:t xml:space="preserve"> </w:t>
      </w:r>
      <w:r>
        <w:rPr>
          <w:noProof/>
        </w:rPr>
        <w:drawing>
          <wp:inline distT="0" distB="0" distL="0" distR="0">
            <wp:extent cx="1260196" cy="1598212"/>
            <wp:effectExtent l="19050" t="0" r="0" b="0"/>
            <wp:docPr id="220" name="Immagine 220" descr="Nikolai Daniel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Nikolai Danielson.jpg"/>
                    <pic:cNvPicPr>
                      <a:picLocks noChangeAspect="1" noChangeArrowheads="1"/>
                    </pic:cNvPicPr>
                  </pic:nvPicPr>
                  <pic:blipFill>
                    <a:blip r:embed="rId72"/>
                    <a:srcRect/>
                    <a:stretch>
                      <a:fillRect/>
                    </a:stretch>
                  </pic:blipFill>
                  <pic:spPr bwMode="auto">
                    <a:xfrm>
                      <a:off x="0" y="0"/>
                      <a:ext cx="1260220" cy="1598242"/>
                    </a:xfrm>
                    <a:prstGeom prst="rect">
                      <a:avLst/>
                    </a:prstGeom>
                    <a:noFill/>
                    <a:ln w="9525">
                      <a:noFill/>
                      <a:miter lim="800000"/>
                      <a:headEnd/>
                      <a:tailEnd/>
                    </a:ln>
                  </pic:spPr>
                </pic:pic>
              </a:graphicData>
            </a:graphic>
          </wp:inline>
        </w:drawing>
      </w:r>
    </w:p>
    <w:p w:rsidR="00085422" w:rsidRDefault="005E1915" w:rsidP="000B2651">
      <w:pPr>
        <w:tabs>
          <w:tab w:val="left" w:pos="2980"/>
          <w:tab w:val="left" w:pos="8089"/>
        </w:tabs>
        <w:jc w:val="both"/>
        <w:rPr>
          <w:sz w:val="28"/>
        </w:rPr>
      </w:pPr>
      <w:r>
        <w:rPr>
          <w:sz w:val="28"/>
        </w:rPr>
        <w:t>La crisi agricola e il “take off” industriale portarono al successo del marxismo negli anni 1890. Il marxismo sfidava consapevolmente la tradizione populista dell’</w:t>
      </w:r>
      <w:r>
        <w:rPr>
          <w:i/>
          <w:sz w:val="28"/>
        </w:rPr>
        <w:t>intelligencija</w:t>
      </w:r>
      <w:r>
        <w:rPr>
          <w:sz w:val="28"/>
        </w:rPr>
        <w:t>.</w:t>
      </w:r>
    </w:p>
    <w:p w:rsidR="005E1915" w:rsidRDefault="005E1915" w:rsidP="000B2651">
      <w:pPr>
        <w:tabs>
          <w:tab w:val="left" w:pos="2980"/>
          <w:tab w:val="left" w:pos="8089"/>
        </w:tabs>
        <w:jc w:val="both"/>
        <w:rPr>
          <w:b/>
          <w:sz w:val="28"/>
        </w:rPr>
      </w:pPr>
      <w:r>
        <w:rPr>
          <w:b/>
          <w:sz w:val="28"/>
        </w:rPr>
        <w:t>Socialismo rivoluzionario</w:t>
      </w:r>
    </w:p>
    <w:p w:rsidR="005E1915" w:rsidRDefault="005E1915" w:rsidP="000B2651">
      <w:pPr>
        <w:tabs>
          <w:tab w:val="left" w:pos="2980"/>
          <w:tab w:val="left" w:pos="8089"/>
        </w:tabs>
        <w:jc w:val="both"/>
        <w:rPr>
          <w:sz w:val="28"/>
        </w:rPr>
      </w:pPr>
      <w:r>
        <w:rPr>
          <w:sz w:val="28"/>
        </w:rPr>
        <w:t>Il populismo confrontandosi con il marxismo diede via al “neo-populismo” di matrice rivoluzionaria: era il Partito dei socialisti rivoluzionari (PSR). Si ispirava alla redazione di “Russkoe bogastvo” e a Nikolaj Michaijlovskij.</w:t>
      </w:r>
    </w:p>
    <w:p w:rsidR="005E1915" w:rsidRDefault="005E1915" w:rsidP="000B2651">
      <w:pPr>
        <w:tabs>
          <w:tab w:val="left" w:pos="2980"/>
          <w:tab w:val="left" w:pos="8089"/>
        </w:tabs>
        <w:jc w:val="both"/>
      </w:pPr>
      <w:r>
        <w:rPr>
          <w:noProof/>
        </w:rPr>
        <w:drawing>
          <wp:inline distT="0" distB="0" distL="0" distR="0">
            <wp:extent cx="1265725" cy="1900361"/>
            <wp:effectExtent l="19050" t="0" r="0" b="0"/>
            <wp:docPr id="21" name="Immagine 2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Logo"/>
                    <pic:cNvPicPr>
                      <a:picLocks noChangeAspect="1" noChangeArrowheads="1"/>
                    </pic:cNvPicPr>
                  </pic:nvPicPr>
                  <pic:blipFill>
                    <a:blip r:embed="rId73" cstate="print"/>
                    <a:srcRect/>
                    <a:stretch>
                      <a:fillRect/>
                    </a:stretch>
                  </pic:blipFill>
                  <pic:spPr bwMode="auto">
                    <a:xfrm>
                      <a:off x="0" y="0"/>
                      <a:ext cx="1265805" cy="1900482"/>
                    </a:xfrm>
                    <a:prstGeom prst="rect">
                      <a:avLst/>
                    </a:prstGeom>
                    <a:noFill/>
                    <a:ln w="9525">
                      <a:noFill/>
                      <a:miter lim="800000"/>
                      <a:headEnd/>
                      <a:tailEnd/>
                    </a:ln>
                  </pic:spPr>
                </pic:pic>
              </a:graphicData>
            </a:graphic>
          </wp:inline>
        </w:drawing>
      </w:r>
      <w:r>
        <w:rPr>
          <w:noProof/>
        </w:rPr>
        <w:drawing>
          <wp:inline distT="0" distB="0" distL="0" distR="0">
            <wp:extent cx="1431290" cy="1900555"/>
            <wp:effectExtent l="19050" t="0" r="0" b="0"/>
            <wp:docPr id="223" name="Immagine 223" descr="Risultati immagini per nikolaj michajlov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Risultati immagini per nikolaj michajlovskij"/>
                    <pic:cNvPicPr>
                      <a:picLocks noChangeAspect="1" noChangeArrowheads="1"/>
                    </pic:cNvPicPr>
                  </pic:nvPicPr>
                  <pic:blipFill>
                    <a:blip r:embed="rId74"/>
                    <a:srcRect/>
                    <a:stretch>
                      <a:fillRect/>
                    </a:stretch>
                  </pic:blipFill>
                  <pic:spPr bwMode="auto">
                    <a:xfrm>
                      <a:off x="0" y="0"/>
                      <a:ext cx="1431290" cy="1900555"/>
                    </a:xfrm>
                    <a:prstGeom prst="rect">
                      <a:avLst/>
                    </a:prstGeom>
                    <a:noFill/>
                    <a:ln w="9525">
                      <a:noFill/>
                      <a:miter lim="800000"/>
                      <a:headEnd/>
                      <a:tailEnd/>
                    </a:ln>
                  </pic:spPr>
                </pic:pic>
              </a:graphicData>
            </a:graphic>
          </wp:inline>
        </w:drawing>
      </w:r>
      <w:r w:rsidRPr="005E1915">
        <w:t xml:space="preserve"> </w:t>
      </w:r>
      <w:r w:rsidR="009F34D3">
        <w:rPr>
          <w:noProof/>
        </w:rPr>
        <w:drawing>
          <wp:inline distT="0" distB="0" distL="0" distR="0">
            <wp:extent cx="1316616" cy="1900361"/>
            <wp:effectExtent l="19050" t="0" r="0" b="0"/>
            <wp:docPr id="229" name="Immagine 229" descr="Risultati immagini per viktor cher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Risultati immagini per viktor chernov"/>
                    <pic:cNvPicPr>
                      <a:picLocks noChangeAspect="1" noChangeArrowheads="1"/>
                    </pic:cNvPicPr>
                  </pic:nvPicPr>
                  <pic:blipFill>
                    <a:blip r:embed="rId75"/>
                    <a:srcRect/>
                    <a:stretch>
                      <a:fillRect/>
                    </a:stretch>
                  </pic:blipFill>
                  <pic:spPr bwMode="auto">
                    <a:xfrm>
                      <a:off x="0" y="0"/>
                      <a:ext cx="1316616" cy="1900361"/>
                    </a:xfrm>
                    <a:prstGeom prst="rect">
                      <a:avLst/>
                    </a:prstGeom>
                    <a:noFill/>
                    <a:ln w="9525">
                      <a:noFill/>
                      <a:miter lim="800000"/>
                      <a:headEnd/>
                      <a:tailEnd/>
                    </a:ln>
                  </pic:spPr>
                </pic:pic>
              </a:graphicData>
            </a:graphic>
          </wp:inline>
        </w:drawing>
      </w:r>
    </w:p>
    <w:p w:rsidR="005E1915" w:rsidRDefault="005E1915" w:rsidP="000B2651">
      <w:pPr>
        <w:tabs>
          <w:tab w:val="left" w:pos="2980"/>
          <w:tab w:val="left" w:pos="8089"/>
        </w:tabs>
        <w:jc w:val="both"/>
        <w:rPr>
          <w:sz w:val="28"/>
        </w:rPr>
      </w:pPr>
      <w:r>
        <w:rPr>
          <w:sz w:val="28"/>
        </w:rPr>
        <w:t>I primi nuclei di socialisti rivoluzionari si formarono come circoli locali intorno al 1895.</w:t>
      </w:r>
      <w:r w:rsidR="009F34D3">
        <w:rPr>
          <w:sz w:val="28"/>
        </w:rPr>
        <w:t xml:space="preserve"> Nel 1899 si attuò un processo riunificazione regionale. Nel dicembre 1901 le </w:t>
      </w:r>
      <w:r w:rsidR="009F34D3">
        <w:rPr>
          <w:sz w:val="28"/>
        </w:rPr>
        <w:lastRenderedPageBreak/>
        <w:t>due principali organizzazioni daranno vita un partito. Nel 1902 si unì Lega agraria socialista di Viktor Cernov, ma rimasero autonomi.</w:t>
      </w:r>
    </w:p>
    <w:p w:rsidR="009F34D3" w:rsidRDefault="009F34D3" w:rsidP="000B2651">
      <w:pPr>
        <w:tabs>
          <w:tab w:val="left" w:pos="2980"/>
          <w:tab w:val="left" w:pos="8089"/>
        </w:tabs>
        <w:jc w:val="both"/>
        <w:rPr>
          <w:sz w:val="28"/>
        </w:rPr>
      </w:pPr>
      <w:r>
        <w:rPr>
          <w:sz w:val="28"/>
        </w:rPr>
        <w:t>L’organizzazione del PSR rimase lontana dal forte centralismo del POSDR. Anche l’elaborazione programmatica fu lenta. Solo nel 1904 si elaborò un programma comune, imperniato sulla rivoluzione contadina e la socializzazione della terra. La base politica era democratica e federalista, inoltre, il ruolo-guida era svolto dall’</w:t>
      </w:r>
      <w:r>
        <w:rPr>
          <w:i/>
          <w:sz w:val="28"/>
        </w:rPr>
        <w:t>intelligencija</w:t>
      </w:r>
      <w:r>
        <w:rPr>
          <w:sz w:val="28"/>
        </w:rPr>
        <w:t xml:space="preserve"> e dall’alleanza fra operai e contadini.</w:t>
      </w:r>
    </w:p>
    <w:p w:rsidR="009F34D3" w:rsidRDefault="002365D3" w:rsidP="000B2651">
      <w:pPr>
        <w:tabs>
          <w:tab w:val="left" w:pos="2980"/>
          <w:tab w:val="left" w:pos="8089"/>
        </w:tabs>
        <w:jc w:val="both"/>
        <w:rPr>
          <w:sz w:val="28"/>
        </w:rPr>
      </w:pPr>
      <w:r>
        <w:rPr>
          <w:sz w:val="28"/>
        </w:rPr>
        <w:t xml:space="preserve">L’Organizzazione combattente del partito (OC) si richiamava alla tradizione  terroristica di </w:t>
      </w:r>
      <w:r>
        <w:rPr>
          <w:i/>
          <w:sz w:val="28"/>
        </w:rPr>
        <w:t>Narodnaja volja</w:t>
      </w:r>
      <w:r>
        <w:rPr>
          <w:sz w:val="28"/>
        </w:rPr>
        <w:t>.</w:t>
      </w:r>
    </w:p>
    <w:p w:rsidR="002365D3" w:rsidRDefault="002365D3" w:rsidP="000B2651">
      <w:pPr>
        <w:tabs>
          <w:tab w:val="left" w:pos="2980"/>
          <w:tab w:val="left" w:pos="8089"/>
        </w:tabs>
        <w:jc w:val="both"/>
        <w:rPr>
          <w:sz w:val="28"/>
        </w:rPr>
      </w:pPr>
      <w:r>
        <w:rPr>
          <w:sz w:val="28"/>
        </w:rPr>
        <w:t xml:space="preserve">Dopo la carestia del 1891 gli </w:t>
      </w:r>
      <w:r>
        <w:rPr>
          <w:i/>
          <w:sz w:val="28"/>
        </w:rPr>
        <w:t>zemstva</w:t>
      </w:r>
      <w:r>
        <w:rPr>
          <w:sz w:val="28"/>
        </w:rPr>
        <w:t xml:space="preserve"> e la società civile russa diedero vita un’effervescenza di impegno politico. Si diffondeva la consapevolezza e l’urgenza di una riforma costituzionale per porre fine al sistema autocratico.</w:t>
      </w:r>
    </w:p>
    <w:p w:rsidR="002365D3" w:rsidRDefault="002365D3" w:rsidP="000B2651">
      <w:pPr>
        <w:tabs>
          <w:tab w:val="left" w:pos="2980"/>
          <w:tab w:val="left" w:pos="8089"/>
        </w:tabs>
        <w:jc w:val="both"/>
        <w:rPr>
          <w:sz w:val="28"/>
        </w:rPr>
      </w:pPr>
      <w:r>
        <w:rPr>
          <w:sz w:val="28"/>
        </w:rPr>
        <w:t>Lo slogan “la riforma, non le riforme!” raccolse molti orientamenti e volevano un programma di riforme democratiche fatto da un’ampia opposizione:</w:t>
      </w:r>
    </w:p>
    <w:p w:rsidR="002365D3" w:rsidRDefault="002365D3" w:rsidP="000B2651">
      <w:pPr>
        <w:pStyle w:val="Paragrafoelenco"/>
        <w:numPr>
          <w:ilvl w:val="0"/>
          <w:numId w:val="20"/>
        </w:numPr>
        <w:tabs>
          <w:tab w:val="left" w:pos="2980"/>
          <w:tab w:val="left" w:pos="8089"/>
        </w:tabs>
        <w:jc w:val="both"/>
        <w:rPr>
          <w:sz w:val="28"/>
        </w:rPr>
      </w:pPr>
      <w:r>
        <w:rPr>
          <w:sz w:val="28"/>
        </w:rPr>
        <w:t>Esponenti del “populismo legale”</w:t>
      </w:r>
    </w:p>
    <w:p w:rsidR="002365D3" w:rsidRDefault="002365D3" w:rsidP="000B2651">
      <w:pPr>
        <w:pStyle w:val="Paragrafoelenco"/>
        <w:numPr>
          <w:ilvl w:val="0"/>
          <w:numId w:val="20"/>
        </w:numPr>
        <w:tabs>
          <w:tab w:val="left" w:pos="2980"/>
          <w:tab w:val="left" w:pos="8089"/>
        </w:tabs>
        <w:jc w:val="both"/>
        <w:rPr>
          <w:sz w:val="28"/>
        </w:rPr>
      </w:pPr>
      <w:r>
        <w:rPr>
          <w:sz w:val="28"/>
        </w:rPr>
        <w:t>Marxisti, come Petr Struve</w:t>
      </w:r>
    </w:p>
    <w:p w:rsidR="002365D3" w:rsidRDefault="002365D3" w:rsidP="000B2651">
      <w:pPr>
        <w:pStyle w:val="Paragrafoelenco"/>
        <w:numPr>
          <w:ilvl w:val="0"/>
          <w:numId w:val="20"/>
        </w:numPr>
        <w:tabs>
          <w:tab w:val="left" w:pos="2980"/>
          <w:tab w:val="left" w:pos="8089"/>
        </w:tabs>
        <w:jc w:val="both"/>
        <w:rPr>
          <w:sz w:val="28"/>
        </w:rPr>
      </w:pPr>
      <w:r>
        <w:rPr>
          <w:sz w:val="28"/>
        </w:rPr>
        <w:t xml:space="preserve">Liberali e progressisti degli </w:t>
      </w:r>
      <w:r>
        <w:rPr>
          <w:i/>
          <w:sz w:val="28"/>
        </w:rPr>
        <w:t>zemstva</w:t>
      </w:r>
      <w:r>
        <w:rPr>
          <w:sz w:val="28"/>
        </w:rPr>
        <w:t xml:space="preserve"> stanchi delle “piccole iniziative”</w:t>
      </w:r>
    </w:p>
    <w:p w:rsidR="002365D3" w:rsidRDefault="002365D3" w:rsidP="000B2651">
      <w:pPr>
        <w:tabs>
          <w:tab w:val="left" w:pos="2980"/>
          <w:tab w:val="left" w:pos="8089"/>
        </w:tabs>
        <w:jc w:val="both"/>
        <w:rPr>
          <w:sz w:val="28"/>
        </w:rPr>
      </w:pPr>
      <w:r>
        <w:rPr>
          <w:sz w:val="28"/>
        </w:rPr>
        <w:t xml:space="preserve">Gli </w:t>
      </w:r>
      <w:r>
        <w:rPr>
          <w:i/>
          <w:sz w:val="28"/>
        </w:rPr>
        <w:t xml:space="preserve">zemstva </w:t>
      </w:r>
      <w:r>
        <w:rPr>
          <w:sz w:val="28"/>
        </w:rPr>
        <w:t xml:space="preserve">volevano dar vita a una rete organizzativa panrussa e si diffondeva fra gli </w:t>
      </w:r>
      <w:r>
        <w:rPr>
          <w:i/>
          <w:sz w:val="28"/>
        </w:rPr>
        <w:t>zemcy</w:t>
      </w:r>
      <w:r>
        <w:rPr>
          <w:sz w:val="28"/>
        </w:rPr>
        <w:t xml:space="preserve"> una componete costituzionalista, in sintonia con i marxisti e populisti liberali</w:t>
      </w:r>
      <w:r w:rsidR="00E9279C">
        <w:rPr>
          <w:sz w:val="28"/>
        </w:rPr>
        <w:t>. Nel 1903 questa convergenza diede vita alla Lega di liberazione (</w:t>
      </w:r>
      <w:r w:rsidR="00E9279C" w:rsidRPr="00E9279C">
        <w:rPr>
          <w:i/>
          <w:sz w:val="28"/>
        </w:rPr>
        <w:t>So</w:t>
      </w:r>
      <w:r w:rsidR="00E9279C">
        <w:rPr>
          <w:i/>
          <w:sz w:val="28"/>
        </w:rPr>
        <w:t>juz Osvobzdenija</w:t>
      </w:r>
      <w:r w:rsidR="00E9279C">
        <w:rPr>
          <w:sz w:val="28"/>
        </w:rPr>
        <w:t>), un organizzazione clandestina,che nel 1904 definì come suo obiettivo la creazione di istituzioni democratiche fondate su suffragio universale.</w:t>
      </w:r>
    </w:p>
    <w:p w:rsidR="0027613E" w:rsidRPr="00C26DE4" w:rsidRDefault="0027613E" w:rsidP="000B2651">
      <w:pPr>
        <w:tabs>
          <w:tab w:val="left" w:pos="2980"/>
          <w:tab w:val="left" w:pos="8089"/>
        </w:tabs>
        <w:jc w:val="both"/>
        <w:rPr>
          <w:sz w:val="28"/>
        </w:rPr>
      </w:pPr>
      <w:r>
        <w:rPr>
          <w:noProof/>
        </w:rPr>
        <w:drawing>
          <wp:inline distT="0" distB="0" distL="0" distR="0">
            <wp:extent cx="1467844" cy="1619363"/>
            <wp:effectExtent l="19050" t="0" r="0" b="0"/>
            <wp:docPr id="232" name="Immagine 232" descr="Bogolepov, Nikolaj Pavlovi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Bogolepov, Nikolaj Pavlovich.jpg"/>
                    <pic:cNvPicPr>
                      <a:picLocks noChangeAspect="1" noChangeArrowheads="1"/>
                    </pic:cNvPicPr>
                  </pic:nvPicPr>
                  <pic:blipFill>
                    <a:blip r:embed="rId76"/>
                    <a:srcRect/>
                    <a:stretch>
                      <a:fillRect/>
                    </a:stretch>
                  </pic:blipFill>
                  <pic:spPr bwMode="auto">
                    <a:xfrm>
                      <a:off x="0" y="0"/>
                      <a:ext cx="1467960" cy="1619491"/>
                    </a:xfrm>
                    <a:prstGeom prst="rect">
                      <a:avLst/>
                    </a:prstGeom>
                    <a:noFill/>
                    <a:ln w="9525">
                      <a:noFill/>
                      <a:miter lim="800000"/>
                      <a:headEnd/>
                      <a:tailEnd/>
                    </a:ln>
                  </pic:spPr>
                </pic:pic>
              </a:graphicData>
            </a:graphic>
          </wp:inline>
        </w:drawing>
      </w:r>
      <w:r>
        <w:rPr>
          <w:sz w:val="28"/>
        </w:rPr>
        <w:t>Bogolepov</w:t>
      </w:r>
      <w:r w:rsidRPr="0027613E">
        <w:t xml:space="preserve"> </w:t>
      </w:r>
      <w:r w:rsidRPr="0027613E">
        <w:rPr>
          <w:noProof/>
          <w:sz w:val="28"/>
        </w:rPr>
        <w:drawing>
          <wp:inline distT="0" distB="0" distL="0" distR="0">
            <wp:extent cx="1227373" cy="1614114"/>
            <wp:effectExtent l="19050" t="0" r="0" b="0"/>
            <wp:docPr id="235" name="Immagine 235" descr="Risultati immagini per sipjag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Risultati immagini per sipjagin"/>
                    <pic:cNvPicPr>
                      <a:picLocks noChangeAspect="1" noChangeArrowheads="1"/>
                    </pic:cNvPicPr>
                  </pic:nvPicPr>
                  <pic:blipFill>
                    <a:blip r:embed="rId77"/>
                    <a:srcRect/>
                    <a:stretch>
                      <a:fillRect/>
                    </a:stretch>
                  </pic:blipFill>
                  <pic:spPr bwMode="auto">
                    <a:xfrm>
                      <a:off x="0" y="0"/>
                      <a:ext cx="1227290" cy="1614005"/>
                    </a:xfrm>
                    <a:prstGeom prst="rect">
                      <a:avLst/>
                    </a:prstGeom>
                    <a:noFill/>
                    <a:ln w="9525">
                      <a:noFill/>
                      <a:miter lim="800000"/>
                      <a:headEnd/>
                      <a:tailEnd/>
                    </a:ln>
                  </pic:spPr>
                </pic:pic>
              </a:graphicData>
            </a:graphic>
          </wp:inline>
        </w:drawing>
      </w:r>
      <w:r w:rsidRPr="0027613E">
        <w:rPr>
          <w:sz w:val="28"/>
        </w:rPr>
        <w:t>S</w:t>
      </w:r>
      <w:r>
        <w:rPr>
          <w:sz w:val="28"/>
        </w:rPr>
        <w:t>i</w:t>
      </w:r>
      <w:r w:rsidRPr="0027613E">
        <w:rPr>
          <w:sz w:val="28"/>
        </w:rPr>
        <w:t>pjagin</w:t>
      </w:r>
      <w:r w:rsidR="00C26DE4" w:rsidRPr="00C26DE4">
        <w:t xml:space="preserve"> </w:t>
      </w:r>
      <w:r w:rsidR="00C26DE4">
        <w:rPr>
          <w:noProof/>
        </w:rPr>
        <w:drawing>
          <wp:inline distT="0" distB="0" distL="0" distR="0">
            <wp:extent cx="1158023" cy="1546927"/>
            <wp:effectExtent l="19050" t="0" r="4027" b="0"/>
            <wp:docPr id="238" name="Immagine 238" descr="Vyacheslav von Pleh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Vyacheslav von Plehve.jpg"/>
                    <pic:cNvPicPr>
                      <a:picLocks noChangeAspect="1" noChangeArrowheads="1"/>
                    </pic:cNvPicPr>
                  </pic:nvPicPr>
                  <pic:blipFill>
                    <a:blip r:embed="rId78"/>
                    <a:srcRect/>
                    <a:stretch>
                      <a:fillRect/>
                    </a:stretch>
                  </pic:blipFill>
                  <pic:spPr bwMode="auto">
                    <a:xfrm>
                      <a:off x="0" y="0"/>
                      <a:ext cx="1159415" cy="1548786"/>
                    </a:xfrm>
                    <a:prstGeom prst="rect">
                      <a:avLst/>
                    </a:prstGeom>
                    <a:noFill/>
                    <a:ln w="9525">
                      <a:noFill/>
                      <a:miter lim="800000"/>
                      <a:headEnd/>
                      <a:tailEnd/>
                    </a:ln>
                  </pic:spPr>
                </pic:pic>
              </a:graphicData>
            </a:graphic>
          </wp:inline>
        </w:drawing>
      </w:r>
      <w:r w:rsidR="00C26DE4">
        <w:rPr>
          <w:sz w:val="28"/>
        </w:rPr>
        <w:t>Preve</w:t>
      </w:r>
    </w:p>
    <w:p w:rsidR="00E9279C" w:rsidRDefault="00E9279C" w:rsidP="000B2651">
      <w:pPr>
        <w:tabs>
          <w:tab w:val="left" w:pos="2980"/>
          <w:tab w:val="left" w:pos="8089"/>
        </w:tabs>
        <w:jc w:val="both"/>
        <w:rPr>
          <w:sz w:val="28"/>
        </w:rPr>
      </w:pPr>
      <w:r>
        <w:rPr>
          <w:sz w:val="28"/>
        </w:rPr>
        <w:t xml:space="preserve">Nelle università si viveva il caos. I disordini iniziarono il Febbrario 1899 a San Pietroburgo quando le autorità vietarono l’anniversario di fondazione </w:t>
      </w:r>
      <w:r>
        <w:rPr>
          <w:sz w:val="28"/>
        </w:rPr>
        <w:lastRenderedPageBreak/>
        <w:t>dell’università. Seguì uno sciopero generale. Le università divennero dei focolai di crisi permanente a seguito della cattiva gestione del ministro dell’Istruzione Nikolaj Bogolepov, che represse nel sangue lo sciopero.</w:t>
      </w:r>
    </w:p>
    <w:p w:rsidR="00E9279C" w:rsidRDefault="00E9279C" w:rsidP="000B2651">
      <w:pPr>
        <w:tabs>
          <w:tab w:val="left" w:pos="2980"/>
          <w:tab w:val="left" w:pos="8089"/>
        </w:tabs>
        <w:jc w:val="both"/>
        <w:rPr>
          <w:sz w:val="28"/>
        </w:rPr>
      </w:pPr>
      <w:r>
        <w:rPr>
          <w:sz w:val="28"/>
        </w:rPr>
        <w:t>Lo storico Richard Pipes nella protesta studentesca del 1899 l’in</w:t>
      </w:r>
      <w:r w:rsidR="0027613E">
        <w:rPr>
          <w:sz w:val="28"/>
        </w:rPr>
        <w:t>i</w:t>
      </w:r>
      <w:r>
        <w:rPr>
          <w:sz w:val="28"/>
        </w:rPr>
        <w:t>zio della rivoluzione russa</w:t>
      </w:r>
      <w:r w:rsidR="0027613E">
        <w:rPr>
          <w:sz w:val="28"/>
        </w:rPr>
        <w:t>.  Bogolepov fu ferito a morte da uno studente. Il ministro dell’interno, Sipijagin, fu ucciso da un membro di OC (Organizzazione combattente del PSR)</w:t>
      </w:r>
      <w:r w:rsidR="00C26DE4">
        <w:rPr>
          <w:sz w:val="28"/>
        </w:rPr>
        <w:t xml:space="preserve">. Il suo sostituto, Preve, di orientamento arciconservatore, fu assassinato nel 1904 dall’OC di PSR, poiché era antisemitista, accettava i </w:t>
      </w:r>
      <w:r w:rsidR="00C26DE4">
        <w:rPr>
          <w:i/>
          <w:sz w:val="28"/>
        </w:rPr>
        <w:t xml:space="preserve">pogrom </w:t>
      </w:r>
      <w:r w:rsidR="00C26DE4">
        <w:rPr>
          <w:sz w:val="28"/>
        </w:rPr>
        <w:t>e fu molto repressivo in Finlandia.</w:t>
      </w:r>
    </w:p>
    <w:p w:rsidR="00C26DE4" w:rsidRDefault="00C26DE4" w:rsidP="000B2651">
      <w:pPr>
        <w:pStyle w:val="Titolo1"/>
        <w:jc w:val="both"/>
      </w:pPr>
      <w:bookmarkStart w:id="12" w:name="_Toc493625437"/>
      <w:r>
        <w:t>3° Capitolo: La 1° rivoluzione russa (1905-1907)</w:t>
      </w:r>
      <w:bookmarkEnd w:id="12"/>
    </w:p>
    <w:p w:rsidR="00C26DE4" w:rsidRDefault="00C26DE4" w:rsidP="000B2651">
      <w:pPr>
        <w:jc w:val="both"/>
      </w:pPr>
    </w:p>
    <w:p w:rsidR="00C26DE4" w:rsidRDefault="00C26DE4" w:rsidP="000B2651">
      <w:pPr>
        <w:pStyle w:val="Titolo2"/>
        <w:jc w:val="both"/>
        <w:rPr>
          <w:sz w:val="28"/>
        </w:rPr>
      </w:pPr>
      <w:bookmarkStart w:id="13" w:name="_Toc493625438"/>
      <w:r>
        <w:rPr>
          <w:sz w:val="28"/>
        </w:rPr>
        <w:t>Il1905 fra modelli occidentali ed esperienze extraeuropee</w:t>
      </w:r>
      <w:bookmarkEnd w:id="13"/>
    </w:p>
    <w:p w:rsidR="00C26DE4" w:rsidRDefault="0007324F" w:rsidP="000B2651">
      <w:pPr>
        <w:jc w:val="both"/>
        <w:rPr>
          <w:sz w:val="28"/>
        </w:rPr>
      </w:pPr>
      <w:r>
        <w:rPr>
          <w:sz w:val="28"/>
        </w:rPr>
        <w:t>Nei primi anni del Novecento nell’Impero Zarista vivevano “due Russie”:</w:t>
      </w:r>
    </w:p>
    <w:tbl>
      <w:tblPr>
        <w:tblStyle w:val="Grigliatabella"/>
        <w:tblW w:w="0" w:type="auto"/>
        <w:tblLook w:val="04A0"/>
      </w:tblPr>
      <w:tblGrid>
        <w:gridCol w:w="4889"/>
        <w:gridCol w:w="4889"/>
      </w:tblGrid>
      <w:tr w:rsidR="0007324F" w:rsidTr="0007324F">
        <w:tc>
          <w:tcPr>
            <w:tcW w:w="4889" w:type="dxa"/>
          </w:tcPr>
          <w:p w:rsidR="0007324F" w:rsidRDefault="0007324F" w:rsidP="000B2651">
            <w:pPr>
              <w:jc w:val="both"/>
              <w:rPr>
                <w:sz w:val="28"/>
              </w:rPr>
            </w:pPr>
            <w:r>
              <w:rPr>
                <w:sz w:val="28"/>
              </w:rPr>
              <w:t>Stato autocratico e burocratico</w:t>
            </w:r>
          </w:p>
        </w:tc>
        <w:tc>
          <w:tcPr>
            <w:tcW w:w="4889" w:type="dxa"/>
          </w:tcPr>
          <w:p w:rsidR="0007324F" w:rsidRDefault="0007324F" w:rsidP="000B2651">
            <w:pPr>
              <w:jc w:val="both"/>
              <w:rPr>
                <w:sz w:val="28"/>
              </w:rPr>
            </w:pPr>
            <w:r>
              <w:rPr>
                <w:sz w:val="28"/>
              </w:rPr>
              <w:t>Movimenti di liberazione:</w:t>
            </w:r>
          </w:p>
          <w:p w:rsidR="0007324F" w:rsidRDefault="0007324F" w:rsidP="000B2651">
            <w:pPr>
              <w:jc w:val="both"/>
              <w:rPr>
                <w:sz w:val="28"/>
              </w:rPr>
            </w:pPr>
            <w:r>
              <w:rPr>
                <w:sz w:val="28"/>
              </w:rPr>
              <w:t>Società colta</w:t>
            </w:r>
          </w:p>
          <w:p w:rsidR="0007324F" w:rsidRDefault="0007324F" w:rsidP="000B2651">
            <w:pPr>
              <w:jc w:val="both"/>
              <w:rPr>
                <w:sz w:val="28"/>
              </w:rPr>
            </w:pPr>
            <w:r>
              <w:rPr>
                <w:sz w:val="28"/>
              </w:rPr>
              <w:t>Zemstva</w:t>
            </w:r>
          </w:p>
          <w:p w:rsidR="0007324F" w:rsidRDefault="0007324F" w:rsidP="000B2651">
            <w:pPr>
              <w:jc w:val="both"/>
              <w:rPr>
                <w:sz w:val="28"/>
              </w:rPr>
            </w:pPr>
            <w:r>
              <w:rPr>
                <w:sz w:val="28"/>
              </w:rPr>
              <w:t>Intelligencija</w:t>
            </w:r>
          </w:p>
          <w:p w:rsidR="0007324F" w:rsidRDefault="0007324F" w:rsidP="000B2651">
            <w:pPr>
              <w:jc w:val="both"/>
              <w:rPr>
                <w:sz w:val="28"/>
              </w:rPr>
            </w:pPr>
            <w:r>
              <w:rPr>
                <w:sz w:val="28"/>
              </w:rPr>
              <w:t>Operai</w:t>
            </w:r>
          </w:p>
          <w:p w:rsidR="0007324F" w:rsidRDefault="0007324F" w:rsidP="000B2651">
            <w:pPr>
              <w:jc w:val="both"/>
              <w:rPr>
                <w:sz w:val="28"/>
              </w:rPr>
            </w:pPr>
            <w:r>
              <w:rPr>
                <w:sz w:val="28"/>
              </w:rPr>
              <w:t>Autonomosti o nazionalisti</w:t>
            </w:r>
          </w:p>
        </w:tc>
      </w:tr>
    </w:tbl>
    <w:p w:rsidR="0007324F" w:rsidRDefault="0007324F" w:rsidP="000B2651">
      <w:pPr>
        <w:jc w:val="both"/>
        <w:rPr>
          <w:sz w:val="28"/>
        </w:rPr>
      </w:pPr>
    </w:p>
    <w:p w:rsidR="0007324F" w:rsidRDefault="0007324F" w:rsidP="000B2651">
      <w:pPr>
        <w:jc w:val="both"/>
        <w:rPr>
          <w:sz w:val="28"/>
        </w:rPr>
      </w:pPr>
      <w:r>
        <w:rPr>
          <w:sz w:val="28"/>
        </w:rPr>
        <w:t>Gli eventi fra 1905-1907 fu un’insieme di rivoluzioni parallele: liberale, operaia, contadina, nazionalista.</w:t>
      </w:r>
    </w:p>
    <w:p w:rsidR="0007324F" w:rsidRDefault="0007324F" w:rsidP="000B2651">
      <w:pPr>
        <w:jc w:val="both"/>
        <w:rPr>
          <w:sz w:val="28"/>
        </w:rPr>
      </w:pPr>
      <w:r>
        <w:rPr>
          <w:sz w:val="28"/>
        </w:rPr>
        <w:t>Lo storico Andreas Kappeler ha definito il 1905 come il prodotto del simultaneo porsi di tre questioni:</w:t>
      </w:r>
    </w:p>
    <w:p w:rsidR="0007324F" w:rsidRDefault="0007324F" w:rsidP="000B2651">
      <w:pPr>
        <w:pStyle w:val="Paragrafoelenco"/>
        <w:numPr>
          <w:ilvl w:val="0"/>
          <w:numId w:val="21"/>
        </w:numPr>
        <w:jc w:val="both"/>
        <w:rPr>
          <w:sz w:val="28"/>
        </w:rPr>
      </w:pPr>
      <w:r>
        <w:rPr>
          <w:sz w:val="28"/>
        </w:rPr>
        <w:t>Rivoluzione borghese: la tutele dei diritti civili e delle libertà costituzionali</w:t>
      </w:r>
    </w:p>
    <w:p w:rsidR="0007324F" w:rsidRDefault="0007324F" w:rsidP="000B2651">
      <w:pPr>
        <w:pStyle w:val="Paragrafoelenco"/>
        <w:numPr>
          <w:ilvl w:val="0"/>
          <w:numId w:val="21"/>
        </w:numPr>
        <w:jc w:val="both"/>
        <w:rPr>
          <w:sz w:val="28"/>
        </w:rPr>
      </w:pPr>
      <w:r>
        <w:rPr>
          <w:sz w:val="28"/>
        </w:rPr>
        <w:t>Rivoluzione nazionale: emancipazione delle nazionalità non russe</w:t>
      </w:r>
    </w:p>
    <w:p w:rsidR="0007324F" w:rsidRDefault="0007324F" w:rsidP="000B2651">
      <w:pPr>
        <w:pStyle w:val="Paragrafoelenco"/>
        <w:numPr>
          <w:ilvl w:val="0"/>
          <w:numId w:val="21"/>
        </w:numPr>
        <w:jc w:val="both"/>
        <w:rPr>
          <w:sz w:val="28"/>
        </w:rPr>
      </w:pPr>
      <w:r>
        <w:rPr>
          <w:sz w:val="28"/>
        </w:rPr>
        <w:t>Rivoluzione socialista: rivendicazione sociale connessa all’industrializzazione</w:t>
      </w:r>
    </w:p>
    <w:p w:rsidR="0007324F" w:rsidRDefault="0007324F" w:rsidP="000B2651">
      <w:pPr>
        <w:jc w:val="both"/>
        <w:rPr>
          <w:sz w:val="28"/>
        </w:rPr>
      </w:pPr>
      <w:r>
        <w:rPr>
          <w:sz w:val="28"/>
        </w:rPr>
        <w:t>Secondo Kappeler il 1905 fu la “primavera dei popoli” dell’Impero russo, data la convergenza di rivoluzione liberale e nazionale molto simile al 1848 in Europa centrale.</w:t>
      </w:r>
    </w:p>
    <w:p w:rsidR="00DD6BAD" w:rsidRDefault="00DD6BAD" w:rsidP="000B2651">
      <w:pPr>
        <w:jc w:val="both"/>
        <w:rPr>
          <w:sz w:val="28"/>
        </w:rPr>
      </w:pPr>
      <w:r>
        <w:rPr>
          <w:sz w:val="28"/>
        </w:rPr>
        <w:lastRenderedPageBreak/>
        <w:t>Per definire gli eventi storici russi di solito si compara con le rivoluzioni europee del 1789-93 e il 1848. Il nome “rivoluzione russa” fa riferimento alle rivoluzioni europee liberali e socialiste. Ma molti erano gli elementi di novità della rivoluzione del 1905-07. Ad esempio Lenin la denominò rivoluzione “democratico-borghese”. Le novità rispetto alle rivoluzione del 1848 erano:</w:t>
      </w:r>
    </w:p>
    <w:p w:rsidR="00DD6BAD" w:rsidRDefault="00DD6BAD" w:rsidP="000B2651">
      <w:pPr>
        <w:jc w:val="both"/>
        <w:rPr>
          <w:sz w:val="28"/>
        </w:rPr>
      </w:pPr>
    </w:p>
    <w:tbl>
      <w:tblPr>
        <w:tblStyle w:val="Grigliatabella"/>
        <w:tblW w:w="0" w:type="auto"/>
        <w:tblLook w:val="04A0"/>
      </w:tblPr>
      <w:tblGrid>
        <w:gridCol w:w="2083"/>
        <w:gridCol w:w="2876"/>
        <w:gridCol w:w="2517"/>
        <w:gridCol w:w="2378"/>
      </w:tblGrid>
      <w:tr w:rsidR="00DD6BAD" w:rsidTr="00DD6BAD">
        <w:tc>
          <w:tcPr>
            <w:tcW w:w="0" w:type="auto"/>
          </w:tcPr>
          <w:p w:rsidR="00DD6BAD" w:rsidRDefault="00DD6BAD" w:rsidP="000B2651">
            <w:pPr>
              <w:jc w:val="both"/>
              <w:rPr>
                <w:sz w:val="28"/>
              </w:rPr>
            </w:pPr>
            <w:r>
              <w:rPr>
                <w:sz w:val="28"/>
              </w:rPr>
              <w:t>1 Rivoluzione contadina, che si comincia ad organizzare su scala nazionale</w:t>
            </w:r>
          </w:p>
        </w:tc>
        <w:tc>
          <w:tcPr>
            <w:tcW w:w="0" w:type="auto"/>
          </w:tcPr>
          <w:p w:rsidR="00DD6BAD" w:rsidRDefault="00DD6BAD" w:rsidP="000B2651">
            <w:pPr>
              <w:jc w:val="both"/>
              <w:rPr>
                <w:sz w:val="28"/>
              </w:rPr>
            </w:pPr>
            <w:r>
              <w:rPr>
                <w:sz w:val="28"/>
              </w:rPr>
              <w:t>2 Movimento operaio, capace di ricorrere allo sciopero generale strumentalizzato come arma politica</w:t>
            </w:r>
          </w:p>
        </w:tc>
        <w:tc>
          <w:tcPr>
            <w:tcW w:w="0" w:type="auto"/>
          </w:tcPr>
          <w:p w:rsidR="00DD6BAD" w:rsidRDefault="00DD6BAD" w:rsidP="000B2651">
            <w:pPr>
              <w:jc w:val="both"/>
              <w:rPr>
                <w:sz w:val="28"/>
              </w:rPr>
            </w:pPr>
            <w:r>
              <w:rPr>
                <w:sz w:val="28"/>
              </w:rPr>
              <w:t>3 Mobilitazione studentesca occupante le università, moto associata al radicalismo rivoluzionario</w:t>
            </w:r>
          </w:p>
        </w:tc>
        <w:tc>
          <w:tcPr>
            <w:tcW w:w="0" w:type="auto"/>
          </w:tcPr>
          <w:p w:rsidR="00DD6BAD" w:rsidRDefault="00DD6BAD" w:rsidP="000B2651">
            <w:pPr>
              <w:jc w:val="both"/>
              <w:rPr>
                <w:sz w:val="28"/>
              </w:rPr>
            </w:pPr>
            <w:r>
              <w:rPr>
                <w:sz w:val="28"/>
              </w:rPr>
              <w:t>4 Le rivendicazioni nazionali prendono corpo avendo una mobilitazione di massa</w:t>
            </w:r>
          </w:p>
        </w:tc>
      </w:tr>
    </w:tbl>
    <w:p w:rsidR="00DD6BAD" w:rsidRDefault="00DD6BAD" w:rsidP="000B2651">
      <w:pPr>
        <w:jc w:val="both"/>
        <w:rPr>
          <w:sz w:val="28"/>
        </w:rPr>
      </w:pPr>
      <w:r>
        <w:rPr>
          <w:sz w:val="28"/>
        </w:rPr>
        <w:t xml:space="preserve"> </w:t>
      </w:r>
    </w:p>
    <w:p w:rsidR="00DD6BAD" w:rsidRDefault="00DD6BAD" w:rsidP="000B2651">
      <w:pPr>
        <w:jc w:val="both"/>
        <w:rPr>
          <w:sz w:val="28"/>
        </w:rPr>
      </w:pPr>
      <w:r>
        <w:rPr>
          <w:sz w:val="28"/>
        </w:rPr>
        <w:t>La rivoluzione russa rappresenta l’ultimo caso di rivoluzione europea, ma è il primo caso di rivoluzione asiatica, futuro esempio delle rivoluzioni terzomondiste nel Novecento.</w:t>
      </w:r>
    </w:p>
    <w:p w:rsidR="001B727A" w:rsidRDefault="001B727A" w:rsidP="000B2651">
      <w:pPr>
        <w:jc w:val="both"/>
        <w:rPr>
          <w:sz w:val="28"/>
        </w:rPr>
      </w:pPr>
      <w:r>
        <w:rPr>
          <w:sz w:val="28"/>
        </w:rPr>
        <w:t>La visione “bolscevica” ha considerato la rivoluzione del 1905 una “prova generale” del 1917, ma questa lettura è troppo condizionata dagli eventi futuri. Altri hanno pensato al 1905 come una fase di “apertura”, di riforma, di ammodernamento, di avvicinamento della Russia all’Occidente, processi poi interrotti a causa della 1° Guerra Mondiale.</w:t>
      </w:r>
    </w:p>
    <w:p w:rsidR="001B727A" w:rsidRDefault="001B727A" w:rsidP="000B2651">
      <w:pPr>
        <w:jc w:val="both"/>
        <w:rPr>
          <w:sz w:val="28"/>
        </w:rPr>
      </w:pPr>
      <w:r>
        <w:rPr>
          <w:sz w:val="28"/>
        </w:rPr>
        <w:t>La rivoluzione del 1905 fu un punto di svolta nella storia dell’Impero zarista: per la prima volta prese corpo un’arena politica pubblica, con i partiti che si sfidavano nella competizione elettorale. Si formò il 1° organismo rappresentativo, la Duma, con poteri legislativi.</w:t>
      </w:r>
    </w:p>
    <w:p w:rsidR="001B727A" w:rsidRDefault="001B727A" w:rsidP="000B2651">
      <w:pPr>
        <w:jc w:val="both"/>
        <w:rPr>
          <w:sz w:val="28"/>
        </w:rPr>
      </w:pPr>
      <w:r>
        <w:rPr>
          <w:sz w:val="28"/>
        </w:rPr>
        <w:t>Si accelerarono i processi di massificazione, mobilitazione, nazionalizzazione, politica di massa, leva obbligatoria.</w:t>
      </w:r>
    </w:p>
    <w:p w:rsidR="001B727A" w:rsidRDefault="001B727A" w:rsidP="000B2651">
      <w:pPr>
        <w:jc w:val="both"/>
        <w:rPr>
          <w:sz w:val="28"/>
        </w:rPr>
      </w:pPr>
      <w:r>
        <w:rPr>
          <w:sz w:val="28"/>
        </w:rPr>
        <w:t>Inoltre salì alla ribalta il politico, Petr Stolypin, il quale proponeva il modello dell’Impero bismarckiano e non quello austro-ungarico.</w:t>
      </w:r>
    </w:p>
    <w:p w:rsidR="001B727A" w:rsidRDefault="001B727A" w:rsidP="000B2651">
      <w:pPr>
        <w:jc w:val="both"/>
        <w:rPr>
          <w:sz w:val="28"/>
        </w:rPr>
      </w:pPr>
      <w:r>
        <w:rPr>
          <w:sz w:val="28"/>
        </w:rPr>
        <w:t xml:space="preserve">Fondamentale per la comprensione della rivoluzione fu la concomitanza fra rivoluzione e guerra russo-giapponese. Da questo scenario si definirono nuove </w:t>
      </w:r>
      <w:r>
        <w:rPr>
          <w:sz w:val="28"/>
        </w:rPr>
        <w:lastRenderedPageBreak/>
        <w:t>alleanze su scala mondiale, che prepararono il contesto internazionale della 1° guerra mondiale.</w:t>
      </w:r>
    </w:p>
    <w:p w:rsidR="00E47422" w:rsidRDefault="00E47422" w:rsidP="000B2651">
      <w:pPr>
        <w:jc w:val="both"/>
        <w:rPr>
          <w:sz w:val="28"/>
        </w:rPr>
      </w:pPr>
    </w:p>
    <w:p w:rsidR="00E47422" w:rsidRDefault="00E47422" w:rsidP="000B2651">
      <w:pPr>
        <w:jc w:val="both"/>
        <w:rPr>
          <w:sz w:val="28"/>
        </w:rPr>
      </w:pPr>
    </w:p>
    <w:p w:rsidR="001B727A" w:rsidRPr="0007324F" w:rsidRDefault="001B727A" w:rsidP="000B2651">
      <w:pPr>
        <w:jc w:val="both"/>
        <w:rPr>
          <w:sz w:val="28"/>
        </w:rPr>
      </w:pPr>
      <w:r>
        <w:rPr>
          <w:noProof/>
        </w:rPr>
        <w:drawing>
          <wp:inline distT="0" distB="0" distL="0" distR="0">
            <wp:extent cx="1931354" cy="2695433"/>
            <wp:effectExtent l="19050" t="0" r="0" b="0"/>
            <wp:docPr id="241" name="Immagine 241" descr="Stolyp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Stolypin.jpg"/>
                    <pic:cNvPicPr>
                      <a:picLocks noChangeAspect="1" noChangeArrowheads="1"/>
                    </pic:cNvPicPr>
                  </pic:nvPicPr>
                  <pic:blipFill>
                    <a:blip r:embed="rId79"/>
                    <a:srcRect/>
                    <a:stretch>
                      <a:fillRect/>
                    </a:stretch>
                  </pic:blipFill>
                  <pic:spPr bwMode="auto">
                    <a:xfrm>
                      <a:off x="0" y="0"/>
                      <a:ext cx="1931177" cy="2695186"/>
                    </a:xfrm>
                    <a:prstGeom prst="rect">
                      <a:avLst/>
                    </a:prstGeom>
                    <a:noFill/>
                    <a:ln w="9525">
                      <a:noFill/>
                      <a:miter lim="800000"/>
                      <a:headEnd/>
                      <a:tailEnd/>
                    </a:ln>
                  </pic:spPr>
                </pic:pic>
              </a:graphicData>
            </a:graphic>
          </wp:inline>
        </w:drawing>
      </w:r>
      <w:r w:rsidR="00E47422">
        <w:rPr>
          <w:rStyle w:val="Rimandonotaapidipagina"/>
        </w:rPr>
        <w:footnoteReference w:id="18"/>
      </w:r>
      <w:r w:rsidR="00E47422" w:rsidRPr="00E47422">
        <w:t xml:space="preserve"> </w:t>
      </w:r>
      <w:r w:rsidR="00E47422">
        <w:rPr>
          <w:noProof/>
        </w:rPr>
        <w:drawing>
          <wp:inline distT="0" distB="0" distL="0" distR="0">
            <wp:extent cx="3888210" cy="2695433"/>
            <wp:effectExtent l="19050" t="0" r="0" b="0"/>
            <wp:docPr id="244" name="Immagine 244" descr="http://193.205.144.19/scienze/giovani/lucci/media/da%20usare/guerre/guerra%20russo-giappone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193.205.144.19/scienze/giovani/lucci/media/da%20usare/guerre/guerra%20russo-giapponese.jpg"/>
                    <pic:cNvPicPr>
                      <a:picLocks noChangeAspect="1" noChangeArrowheads="1"/>
                    </pic:cNvPicPr>
                  </pic:nvPicPr>
                  <pic:blipFill>
                    <a:blip r:embed="rId80"/>
                    <a:srcRect/>
                    <a:stretch>
                      <a:fillRect/>
                    </a:stretch>
                  </pic:blipFill>
                  <pic:spPr bwMode="auto">
                    <a:xfrm>
                      <a:off x="0" y="0"/>
                      <a:ext cx="3891503" cy="2697716"/>
                    </a:xfrm>
                    <a:prstGeom prst="rect">
                      <a:avLst/>
                    </a:prstGeom>
                    <a:noFill/>
                    <a:ln w="9525">
                      <a:noFill/>
                      <a:miter lim="800000"/>
                      <a:headEnd/>
                      <a:tailEnd/>
                    </a:ln>
                  </pic:spPr>
                </pic:pic>
              </a:graphicData>
            </a:graphic>
          </wp:inline>
        </w:drawing>
      </w:r>
      <w:r w:rsidR="00E47422">
        <w:rPr>
          <w:rStyle w:val="Rimandonotaapidipagina"/>
        </w:rPr>
        <w:footnoteReference w:id="19"/>
      </w:r>
    </w:p>
    <w:p w:rsidR="00E47422" w:rsidRDefault="00E47422" w:rsidP="000B2651">
      <w:pPr>
        <w:jc w:val="both"/>
        <w:rPr>
          <w:sz w:val="28"/>
        </w:rPr>
      </w:pPr>
      <w:r>
        <w:rPr>
          <w:sz w:val="28"/>
        </w:rPr>
        <w:t>Pavel Miljukovm, fu uno dei protagonisti politici della rivoluzione del 1905. Egli propose nel 1907 una periodizzazione della rivoluzione:</w:t>
      </w:r>
    </w:p>
    <w:tbl>
      <w:tblPr>
        <w:tblStyle w:val="Grigliatabella"/>
        <w:tblpPr w:leftFromText="141" w:rightFromText="141" w:vertAnchor="text" w:horzAnchor="margin" w:tblpY="23"/>
        <w:tblW w:w="0" w:type="auto"/>
        <w:tblLook w:val="04A0"/>
      </w:tblPr>
      <w:tblGrid>
        <w:gridCol w:w="2471"/>
        <w:gridCol w:w="2322"/>
        <w:gridCol w:w="2203"/>
        <w:gridCol w:w="2858"/>
      </w:tblGrid>
      <w:tr w:rsidR="00E47422" w:rsidTr="00E47422">
        <w:tc>
          <w:tcPr>
            <w:tcW w:w="0" w:type="auto"/>
          </w:tcPr>
          <w:p w:rsidR="00E47422" w:rsidRDefault="00E47422" w:rsidP="000B2651">
            <w:pPr>
              <w:jc w:val="both"/>
              <w:rPr>
                <w:sz w:val="28"/>
              </w:rPr>
            </w:pPr>
            <w:r>
              <w:rPr>
                <w:sz w:val="28"/>
              </w:rPr>
              <w:t>1 Fase nazionale</w:t>
            </w:r>
          </w:p>
          <w:p w:rsidR="00E47422" w:rsidRDefault="00E47422" w:rsidP="000B2651">
            <w:pPr>
              <w:jc w:val="both"/>
              <w:rPr>
                <w:sz w:val="28"/>
              </w:rPr>
            </w:pPr>
            <w:r>
              <w:rPr>
                <w:sz w:val="28"/>
              </w:rPr>
              <w:t>(Novembre 1904-Ottobre 1905)</w:t>
            </w:r>
          </w:p>
        </w:tc>
        <w:tc>
          <w:tcPr>
            <w:tcW w:w="0" w:type="auto"/>
          </w:tcPr>
          <w:p w:rsidR="00E47422" w:rsidRDefault="00E47422" w:rsidP="000B2651">
            <w:pPr>
              <w:jc w:val="both"/>
              <w:rPr>
                <w:sz w:val="28"/>
              </w:rPr>
            </w:pPr>
            <w:r>
              <w:rPr>
                <w:sz w:val="28"/>
              </w:rPr>
              <w:t>2 Fase rivoluzionaria</w:t>
            </w:r>
          </w:p>
          <w:p w:rsidR="00E47422" w:rsidRDefault="00E47422" w:rsidP="000B2651">
            <w:pPr>
              <w:jc w:val="both"/>
              <w:rPr>
                <w:sz w:val="28"/>
              </w:rPr>
            </w:pPr>
            <w:r>
              <w:rPr>
                <w:sz w:val="28"/>
              </w:rPr>
              <w:t>(Ottobre-Dicembre 1905)</w:t>
            </w:r>
          </w:p>
        </w:tc>
        <w:tc>
          <w:tcPr>
            <w:tcW w:w="0" w:type="auto"/>
          </w:tcPr>
          <w:p w:rsidR="00E47422" w:rsidRDefault="00E47422" w:rsidP="000B2651">
            <w:pPr>
              <w:jc w:val="both"/>
              <w:rPr>
                <w:sz w:val="28"/>
              </w:rPr>
            </w:pPr>
            <w:r>
              <w:rPr>
                <w:sz w:val="28"/>
              </w:rPr>
              <w:t>3 Fase Costituzionale</w:t>
            </w:r>
          </w:p>
          <w:p w:rsidR="00E47422" w:rsidRDefault="00E47422" w:rsidP="000B2651">
            <w:pPr>
              <w:jc w:val="both"/>
              <w:rPr>
                <w:sz w:val="28"/>
              </w:rPr>
            </w:pPr>
            <w:r>
              <w:rPr>
                <w:sz w:val="28"/>
              </w:rPr>
              <w:t>(Gennaio-Luglio 1906)</w:t>
            </w:r>
          </w:p>
        </w:tc>
        <w:tc>
          <w:tcPr>
            <w:tcW w:w="0" w:type="auto"/>
          </w:tcPr>
          <w:p w:rsidR="00E47422" w:rsidRDefault="00E47422" w:rsidP="000B2651">
            <w:pPr>
              <w:jc w:val="both"/>
              <w:rPr>
                <w:sz w:val="28"/>
              </w:rPr>
            </w:pPr>
            <w:r>
              <w:rPr>
                <w:sz w:val="28"/>
              </w:rPr>
              <w:t>4 Fase controrivoluzionaria</w:t>
            </w:r>
          </w:p>
          <w:p w:rsidR="00E47422" w:rsidRDefault="00E47422" w:rsidP="000B2651">
            <w:pPr>
              <w:jc w:val="both"/>
              <w:rPr>
                <w:sz w:val="28"/>
              </w:rPr>
            </w:pPr>
            <w:r>
              <w:rPr>
                <w:sz w:val="28"/>
              </w:rPr>
              <w:t>(Agosto 1906-Giugno 1907)</w:t>
            </w:r>
          </w:p>
        </w:tc>
      </w:tr>
    </w:tbl>
    <w:p w:rsidR="00E47422" w:rsidRDefault="00E47422" w:rsidP="000B2651">
      <w:pPr>
        <w:jc w:val="both"/>
        <w:rPr>
          <w:sz w:val="28"/>
        </w:rPr>
      </w:pPr>
    </w:p>
    <w:p w:rsidR="00E47422" w:rsidRDefault="002624C2" w:rsidP="000B2651">
      <w:pPr>
        <w:jc w:val="both"/>
        <w:rPr>
          <w:sz w:val="28"/>
        </w:rPr>
      </w:pPr>
      <w:r>
        <w:rPr>
          <w:noProof/>
          <w:sz w:val="28"/>
        </w:rPr>
        <w:lastRenderedPageBrea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33" type="#_x0000_t67" style="position:absolute;left:0;text-align:left;margin-left:274.3pt;margin-top:1.6pt;width:20.45pt;height:37.65pt;rotation:-2664897fd;z-index:251665408" fillcolor="yellow">
            <v:textbox style="layout-flow:vertical-ideographic"/>
          </v:shape>
        </w:pict>
      </w:r>
      <w:r w:rsidR="00E47422">
        <w:rPr>
          <w:noProof/>
        </w:rPr>
        <w:drawing>
          <wp:inline distT="0" distB="0" distL="0" distR="0">
            <wp:extent cx="1727864" cy="2371978"/>
            <wp:effectExtent l="19050" t="0" r="5686" b="0"/>
            <wp:docPr id="247" name="Immagine 247" descr="https://upload.wikimedia.org/wikipedia/commons/8/81/Pavel_Miliuko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https://upload.wikimedia.org/wikipedia/commons/8/81/Pavel_Miliukov3.jpg"/>
                    <pic:cNvPicPr>
                      <a:picLocks noChangeAspect="1" noChangeArrowheads="1"/>
                    </pic:cNvPicPr>
                  </pic:nvPicPr>
                  <pic:blipFill>
                    <a:blip r:embed="rId81"/>
                    <a:srcRect/>
                    <a:stretch>
                      <a:fillRect/>
                    </a:stretch>
                  </pic:blipFill>
                  <pic:spPr bwMode="auto">
                    <a:xfrm>
                      <a:off x="0" y="0"/>
                      <a:ext cx="1729062" cy="2373623"/>
                    </a:xfrm>
                    <a:prstGeom prst="rect">
                      <a:avLst/>
                    </a:prstGeom>
                    <a:noFill/>
                    <a:ln w="9525">
                      <a:noFill/>
                      <a:miter lim="800000"/>
                      <a:headEnd/>
                      <a:tailEnd/>
                    </a:ln>
                  </pic:spPr>
                </pic:pic>
              </a:graphicData>
            </a:graphic>
          </wp:inline>
        </w:drawing>
      </w:r>
      <w:r w:rsidR="00E47422">
        <w:rPr>
          <w:rStyle w:val="Rimandonotaapidipagina"/>
          <w:sz w:val="28"/>
        </w:rPr>
        <w:footnoteReference w:id="20"/>
      </w:r>
      <w:r w:rsidR="00E47422" w:rsidRPr="00E47422">
        <w:t xml:space="preserve"> </w:t>
      </w:r>
      <w:r w:rsidR="00E47422">
        <w:rPr>
          <w:noProof/>
        </w:rPr>
        <w:drawing>
          <wp:inline distT="0" distB="0" distL="0" distR="0">
            <wp:extent cx="4027511" cy="2373706"/>
            <wp:effectExtent l="19050" t="0" r="0" b="0"/>
            <wp:docPr id="250" name="Immagine 250" descr="https://upload.wikimedia.org/wikipedia/commons/f/f9/Manchur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upload.wikimedia.org/wikipedia/commons/f/f9/Manchuria.png"/>
                    <pic:cNvPicPr>
                      <a:picLocks noChangeAspect="1" noChangeArrowheads="1"/>
                    </pic:cNvPicPr>
                  </pic:nvPicPr>
                  <pic:blipFill>
                    <a:blip r:embed="rId82"/>
                    <a:srcRect/>
                    <a:stretch>
                      <a:fillRect/>
                    </a:stretch>
                  </pic:blipFill>
                  <pic:spPr bwMode="auto">
                    <a:xfrm>
                      <a:off x="0" y="0"/>
                      <a:ext cx="4028470" cy="2374271"/>
                    </a:xfrm>
                    <a:prstGeom prst="rect">
                      <a:avLst/>
                    </a:prstGeom>
                    <a:noFill/>
                    <a:ln w="9525">
                      <a:noFill/>
                      <a:miter lim="800000"/>
                      <a:headEnd/>
                      <a:tailEnd/>
                    </a:ln>
                  </pic:spPr>
                </pic:pic>
              </a:graphicData>
            </a:graphic>
          </wp:inline>
        </w:drawing>
      </w:r>
      <w:r w:rsidR="00E47422">
        <w:rPr>
          <w:rStyle w:val="Rimandonotaapidipagina"/>
        </w:rPr>
        <w:footnoteReference w:id="21"/>
      </w:r>
    </w:p>
    <w:p w:rsidR="0027613E" w:rsidRPr="00B82999" w:rsidRDefault="00B82999" w:rsidP="000B2651">
      <w:pPr>
        <w:pStyle w:val="Titolo2"/>
        <w:jc w:val="both"/>
        <w:rPr>
          <w:sz w:val="28"/>
        </w:rPr>
      </w:pPr>
      <w:bookmarkStart w:id="14" w:name="_Toc493625439"/>
      <w:r w:rsidRPr="00B82999">
        <w:rPr>
          <w:sz w:val="28"/>
        </w:rPr>
        <w:t>La crisi dell’Antico regime (estate 1904-primavera 1905)</w:t>
      </w:r>
      <w:bookmarkEnd w:id="14"/>
    </w:p>
    <w:p w:rsidR="00B82999" w:rsidRDefault="00B82999" w:rsidP="000B2651">
      <w:pPr>
        <w:jc w:val="both"/>
        <w:rPr>
          <w:sz w:val="28"/>
        </w:rPr>
      </w:pPr>
      <w:r>
        <w:rPr>
          <w:sz w:val="28"/>
        </w:rPr>
        <w:t>Il congresso di Berlino aveva posto un freno all’avanzata russa nei Balcani. Ora l’impero zarista si rivolgeva all’espansione in Asia. Il decollo industriale si intensificò grazie agli interessi economici e commerciali in Estremo Oriente. Ad esempio nel 1891 con Witte, ministro dei Trasporti,  si avviò la costruzione della Transiberiana (da Celjabinsk, negli Urali, fino a Vladivostock), completata nel 1903</w:t>
      </w:r>
      <w:r>
        <w:rPr>
          <w:rStyle w:val="Rimandonotaapidipagina"/>
          <w:sz w:val="28"/>
        </w:rPr>
        <w:footnoteReference w:id="22"/>
      </w:r>
      <w:r>
        <w:rPr>
          <w:sz w:val="28"/>
        </w:rPr>
        <w:t>.</w:t>
      </w:r>
    </w:p>
    <w:p w:rsidR="00B82999" w:rsidRDefault="00B82999" w:rsidP="000B2651">
      <w:pPr>
        <w:jc w:val="both"/>
      </w:pPr>
      <w:r>
        <w:rPr>
          <w:noProof/>
        </w:rPr>
        <w:drawing>
          <wp:inline distT="0" distB="0" distL="0" distR="0">
            <wp:extent cx="2881100" cy="2009138"/>
            <wp:effectExtent l="19050" t="0" r="0" b="0"/>
            <wp:docPr id="253" name="Immagine 253" descr="File:Trans siberian railroad larg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File:Trans siberian railroad large.png"/>
                    <pic:cNvPicPr>
                      <a:picLocks noChangeAspect="1" noChangeArrowheads="1"/>
                    </pic:cNvPicPr>
                  </pic:nvPicPr>
                  <pic:blipFill>
                    <a:blip r:embed="rId83"/>
                    <a:srcRect/>
                    <a:stretch>
                      <a:fillRect/>
                    </a:stretch>
                  </pic:blipFill>
                  <pic:spPr bwMode="auto">
                    <a:xfrm>
                      <a:off x="0" y="0"/>
                      <a:ext cx="2883246" cy="2010634"/>
                    </a:xfrm>
                    <a:prstGeom prst="rect">
                      <a:avLst/>
                    </a:prstGeom>
                    <a:noFill/>
                    <a:ln w="9525">
                      <a:noFill/>
                      <a:miter lim="800000"/>
                      <a:headEnd/>
                      <a:tailEnd/>
                    </a:ln>
                  </pic:spPr>
                </pic:pic>
              </a:graphicData>
            </a:graphic>
          </wp:inline>
        </w:drawing>
      </w:r>
      <w:r w:rsidR="00D66B65" w:rsidRPr="00D66B65">
        <w:t xml:space="preserve"> </w:t>
      </w:r>
      <w:r w:rsidR="00D66B65">
        <w:rPr>
          <w:noProof/>
        </w:rPr>
        <w:drawing>
          <wp:inline distT="0" distB="0" distL="0" distR="0">
            <wp:extent cx="3119935" cy="2011392"/>
            <wp:effectExtent l="19050" t="0" r="4265" b="0"/>
            <wp:docPr id="256" name="Immagine 256" descr="Risultati immagini per transiberi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Risultati immagini per transiberiana"/>
                    <pic:cNvPicPr>
                      <a:picLocks noChangeAspect="1" noChangeArrowheads="1"/>
                    </pic:cNvPicPr>
                  </pic:nvPicPr>
                  <pic:blipFill>
                    <a:blip r:embed="rId84"/>
                    <a:srcRect/>
                    <a:stretch>
                      <a:fillRect/>
                    </a:stretch>
                  </pic:blipFill>
                  <pic:spPr bwMode="auto">
                    <a:xfrm>
                      <a:off x="0" y="0"/>
                      <a:ext cx="3119623" cy="2011191"/>
                    </a:xfrm>
                    <a:prstGeom prst="rect">
                      <a:avLst/>
                    </a:prstGeom>
                    <a:noFill/>
                    <a:ln w="9525">
                      <a:noFill/>
                      <a:miter lim="800000"/>
                      <a:headEnd/>
                      <a:tailEnd/>
                    </a:ln>
                  </pic:spPr>
                </pic:pic>
              </a:graphicData>
            </a:graphic>
          </wp:inline>
        </w:drawing>
      </w:r>
    </w:p>
    <w:p w:rsidR="00D66B65" w:rsidRDefault="00D66B65" w:rsidP="000B2651">
      <w:pPr>
        <w:jc w:val="both"/>
        <w:rPr>
          <w:sz w:val="28"/>
        </w:rPr>
      </w:pPr>
      <w:r w:rsidRPr="00D66B65">
        <w:rPr>
          <w:sz w:val="28"/>
        </w:rPr>
        <w:t>La linea passava per l</w:t>
      </w:r>
      <w:r>
        <w:rPr>
          <w:sz w:val="28"/>
        </w:rPr>
        <w:t>a Manciuria settentrionale grazie al lasciapassare della Cina. L’influenza della Russia si muoveva attorno alla città di Harbin. Inoltre la Russia sfruttò la crisi della rivolta dei Boxer (1900-01).</w:t>
      </w:r>
    </w:p>
    <w:p w:rsidR="00D66B65" w:rsidRDefault="00D66B65" w:rsidP="000B2651">
      <w:pPr>
        <w:jc w:val="both"/>
        <w:rPr>
          <w:sz w:val="28"/>
        </w:rPr>
      </w:pPr>
      <w:r>
        <w:rPr>
          <w:sz w:val="28"/>
        </w:rPr>
        <w:lastRenderedPageBreak/>
        <w:t>La penetrazione russa fu condotta in modo incauto. Il ministro degli esteri Vladimir Lamsdorff e Witte erano i più cauti e non volevano il conflitto</w:t>
      </w:r>
      <w:r w:rsidR="00CC0410">
        <w:rPr>
          <w:sz w:val="28"/>
        </w:rPr>
        <w:t>. La Russia iniziò a scontrarsi con il Giappone, divenuta un’emergente potenza, manifestando di voler conquistare la Manciuria e la Corea. I negoziati furono inutili e nel Febbraio 1904 il Giappone attaccò la flotta russa a Port Arthur.</w:t>
      </w:r>
    </w:p>
    <w:p w:rsidR="00CC0410" w:rsidRDefault="002624C2" w:rsidP="000B2651">
      <w:pPr>
        <w:jc w:val="both"/>
      </w:pPr>
      <w:r>
        <w:rPr>
          <w:noProof/>
        </w:rPr>
        <w:pict>
          <v:shape id="_x0000_s1034" type="#_x0000_t67" style="position:absolute;left:0;text-align:left;margin-left:269.45pt;margin-top:49.2pt;width:11.85pt;height:45.7pt;z-index:251666432" fillcolor="yellow">
            <v:textbox style="layout-flow:vertical-ideographic"/>
          </v:shape>
        </w:pict>
      </w:r>
      <w:r w:rsidR="00CC0410">
        <w:rPr>
          <w:noProof/>
        </w:rPr>
        <w:drawing>
          <wp:inline distT="0" distB="0" distL="0" distR="0">
            <wp:extent cx="2832729" cy="2053988"/>
            <wp:effectExtent l="19050" t="0" r="5721" b="0"/>
            <wp:docPr id="259" name="Immagine 259" descr="https://upload.wikimedia.org/wikipedia/commons/thumb/1/13/Battle_of_Port_Arthur_crop2.jpg/800px-Battle_of_Port_Arthur_cr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descr="https://upload.wikimedia.org/wikipedia/commons/thumb/1/13/Battle_of_Port_Arthur_crop2.jpg/800px-Battle_of_Port_Arthur_crop2.jpg"/>
                    <pic:cNvPicPr>
                      <a:picLocks noChangeAspect="1" noChangeArrowheads="1"/>
                    </pic:cNvPicPr>
                  </pic:nvPicPr>
                  <pic:blipFill>
                    <a:blip r:embed="rId85"/>
                    <a:srcRect/>
                    <a:stretch>
                      <a:fillRect/>
                    </a:stretch>
                  </pic:blipFill>
                  <pic:spPr bwMode="auto">
                    <a:xfrm>
                      <a:off x="0" y="0"/>
                      <a:ext cx="2834091" cy="2054975"/>
                    </a:xfrm>
                    <a:prstGeom prst="rect">
                      <a:avLst/>
                    </a:prstGeom>
                    <a:noFill/>
                    <a:ln w="9525">
                      <a:noFill/>
                      <a:miter lim="800000"/>
                      <a:headEnd/>
                      <a:tailEnd/>
                    </a:ln>
                  </pic:spPr>
                </pic:pic>
              </a:graphicData>
            </a:graphic>
          </wp:inline>
        </w:drawing>
      </w:r>
      <w:r w:rsidR="00CC0410" w:rsidRPr="00CC0410">
        <w:t xml:space="preserve"> </w:t>
      </w:r>
      <w:r w:rsidR="00CC0410">
        <w:rPr>
          <w:noProof/>
        </w:rPr>
        <w:drawing>
          <wp:inline distT="0" distB="0" distL="0" distR="0">
            <wp:extent cx="3119935" cy="2066408"/>
            <wp:effectExtent l="19050" t="0" r="4265" b="0"/>
            <wp:docPr id="262" name="Immagine 262" descr="Risultati immagini per battaglia di port arth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Risultati immagini per battaglia di port arthur"/>
                    <pic:cNvPicPr>
                      <a:picLocks noChangeAspect="1" noChangeArrowheads="1"/>
                    </pic:cNvPicPr>
                  </pic:nvPicPr>
                  <pic:blipFill>
                    <a:blip r:embed="rId86"/>
                    <a:srcRect/>
                    <a:stretch>
                      <a:fillRect/>
                    </a:stretch>
                  </pic:blipFill>
                  <pic:spPr bwMode="auto">
                    <a:xfrm>
                      <a:off x="0" y="0"/>
                      <a:ext cx="3119801" cy="2066319"/>
                    </a:xfrm>
                    <a:prstGeom prst="rect">
                      <a:avLst/>
                    </a:prstGeom>
                    <a:noFill/>
                    <a:ln w="9525">
                      <a:noFill/>
                      <a:miter lim="800000"/>
                      <a:headEnd/>
                      <a:tailEnd/>
                    </a:ln>
                  </pic:spPr>
                </pic:pic>
              </a:graphicData>
            </a:graphic>
          </wp:inline>
        </w:drawing>
      </w:r>
    </w:p>
    <w:p w:rsidR="00CC0410" w:rsidRDefault="00CC0410" w:rsidP="000B2651">
      <w:pPr>
        <w:jc w:val="both"/>
        <w:rPr>
          <w:sz w:val="28"/>
        </w:rPr>
      </w:pPr>
      <w:r w:rsidRPr="00CC0410">
        <w:rPr>
          <w:sz w:val="28"/>
        </w:rPr>
        <w:t>Seguir</w:t>
      </w:r>
      <w:r>
        <w:rPr>
          <w:sz w:val="28"/>
        </w:rPr>
        <w:t>ono molte vittorie giapponese ai danni delle forze russe guidata da Aleksej Kuropatkin. Il disfattismo fu condiviso dall’estrema sinistra, dai costituzionalisti come Miljukov, invece, Struve della Lega di liberazione mostrava ideali patriottici.</w:t>
      </w:r>
    </w:p>
    <w:p w:rsidR="00251257" w:rsidRDefault="00CC0410" w:rsidP="000B2651">
      <w:pPr>
        <w:jc w:val="both"/>
        <w:rPr>
          <w:sz w:val="28"/>
        </w:rPr>
      </w:pPr>
      <w:r>
        <w:rPr>
          <w:sz w:val="28"/>
        </w:rPr>
        <w:t xml:space="preserve">L’uccisione di Pleve fu accolta con favore dalle forze politiche e opinione pubblica: dimostrava l’erosione del consenso al regime autocratico. </w:t>
      </w:r>
    </w:p>
    <w:p w:rsidR="00CC0410" w:rsidRDefault="00CC0410" w:rsidP="000B2651">
      <w:pPr>
        <w:jc w:val="both"/>
        <w:rPr>
          <w:sz w:val="28"/>
        </w:rPr>
      </w:pPr>
      <w:r>
        <w:rPr>
          <w:sz w:val="28"/>
        </w:rPr>
        <w:t>Fu nominato il nuovo ministro dell’Interno: il principe Petr Sviatopolk Mirskij, considerato come un giusto servitore dello Stato illuminato e aperto al dialogo liberale.</w:t>
      </w:r>
      <w:r w:rsidR="00251257">
        <w:rPr>
          <w:sz w:val="28"/>
        </w:rPr>
        <w:t xml:space="preserve"> A questo punto gli esponenti degli </w:t>
      </w:r>
      <w:r w:rsidR="00251257">
        <w:rPr>
          <w:i/>
          <w:sz w:val="28"/>
        </w:rPr>
        <w:t>zemstva</w:t>
      </w:r>
      <w:r w:rsidR="00251257">
        <w:rPr>
          <w:sz w:val="28"/>
        </w:rPr>
        <w:t xml:space="preserve"> organizzarono una campagna di “bachetti” e convoco raro fra il 6-9 Novembre un Congresso generale a San Pietroburgo, violando il divieto per le amministrazioni locali di sconfinare nella politica nazionale.</w:t>
      </w:r>
    </w:p>
    <w:p w:rsidR="00251257" w:rsidRDefault="00251257" w:rsidP="000B2651">
      <w:pPr>
        <w:jc w:val="both"/>
        <w:rPr>
          <w:sz w:val="28"/>
        </w:rPr>
      </w:pPr>
      <w:r>
        <w:rPr>
          <w:sz w:val="28"/>
        </w:rPr>
        <w:t>Questo congresso si svolse in condizione di semilegalità:</w:t>
      </w:r>
    </w:p>
    <w:p w:rsidR="00251257" w:rsidRDefault="00251257" w:rsidP="000B2651">
      <w:pPr>
        <w:pStyle w:val="Paragrafoelenco"/>
        <w:numPr>
          <w:ilvl w:val="0"/>
          <w:numId w:val="22"/>
        </w:numPr>
        <w:jc w:val="both"/>
        <w:rPr>
          <w:sz w:val="28"/>
        </w:rPr>
      </w:pPr>
      <w:r>
        <w:rPr>
          <w:sz w:val="28"/>
        </w:rPr>
        <w:t>Gli slavofili di Dmirtij Sipov divennero minoranza</w:t>
      </w:r>
    </w:p>
    <w:p w:rsidR="00251257" w:rsidRDefault="00251257" w:rsidP="000B2651">
      <w:pPr>
        <w:pStyle w:val="Paragrafoelenco"/>
        <w:numPr>
          <w:ilvl w:val="0"/>
          <w:numId w:val="22"/>
        </w:numPr>
        <w:jc w:val="both"/>
        <w:rPr>
          <w:sz w:val="28"/>
        </w:rPr>
      </w:pPr>
      <w:r>
        <w:rPr>
          <w:sz w:val="28"/>
        </w:rPr>
        <w:t>I costituzionalisti divennero maggioranza</w:t>
      </w:r>
    </w:p>
    <w:p w:rsidR="00251257" w:rsidRDefault="00251257" w:rsidP="000B2651">
      <w:pPr>
        <w:pStyle w:val="Paragrafoelenco"/>
        <w:numPr>
          <w:ilvl w:val="0"/>
          <w:numId w:val="22"/>
        </w:numPr>
        <w:jc w:val="both"/>
        <w:rPr>
          <w:sz w:val="28"/>
        </w:rPr>
      </w:pPr>
      <w:r>
        <w:rPr>
          <w:sz w:val="28"/>
        </w:rPr>
        <w:t>Si approvò il punto n.10: la rivendicazione dell’istituzione di un organo rappresentativo popolare con poteri legislativi</w:t>
      </w:r>
    </w:p>
    <w:p w:rsidR="00251257" w:rsidRDefault="00251257" w:rsidP="000B2651">
      <w:pPr>
        <w:jc w:val="both"/>
        <w:rPr>
          <w:sz w:val="28"/>
        </w:rPr>
      </w:pPr>
      <w:r>
        <w:rPr>
          <w:sz w:val="28"/>
        </w:rPr>
        <w:lastRenderedPageBreak/>
        <w:t>Nicola II si convinse di cedere ad alcune concessione ma l’</w:t>
      </w:r>
      <w:r w:rsidRPr="00251257">
        <w:rPr>
          <w:i/>
          <w:sz w:val="28"/>
        </w:rPr>
        <w:t>ukaz</w:t>
      </w:r>
      <w:r>
        <w:rPr>
          <w:i/>
          <w:sz w:val="28"/>
        </w:rPr>
        <w:t xml:space="preserve"> </w:t>
      </w:r>
      <w:r>
        <w:rPr>
          <w:sz w:val="28"/>
        </w:rPr>
        <w:t>(decreto) emanato a Dicembre, riguardante la tutela delle libertà individuale la revisione dello Statuto del 14 agosto 1881, fu giudicato del tutto insufficiente.</w:t>
      </w:r>
    </w:p>
    <w:p w:rsidR="00887818" w:rsidRDefault="00887818" w:rsidP="000B2651">
      <w:pPr>
        <w:jc w:val="both"/>
        <w:rPr>
          <w:sz w:val="28"/>
        </w:rPr>
      </w:pPr>
      <w:r>
        <w:rPr>
          <w:sz w:val="28"/>
        </w:rPr>
        <w:t>Nel contempo il Giappone aveva conquistato Port Arthur e i comandi russi ordinarono l’invio della flotta del Baltico in Oriente.</w:t>
      </w:r>
    </w:p>
    <w:p w:rsidR="00887818" w:rsidRDefault="00887818" w:rsidP="000B2651">
      <w:pPr>
        <w:jc w:val="both"/>
        <w:rPr>
          <w:sz w:val="28"/>
        </w:rPr>
      </w:pPr>
      <w:r>
        <w:rPr>
          <w:sz w:val="28"/>
        </w:rPr>
        <w:t>La situazione interna precipitò dopo gli eventi della “Domenica di sangue”</w:t>
      </w:r>
      <w:r>
        <w:rPr>
          <w:rStyle w:val="Rimandonotaapidipagina"/>
          <w:sz w:val="28"/>
        </w:rPr>
        <w:footnoteReference w:id="23"/>
      </w:r>
      <w:r>
        <w:rPr>
          <w:sz w:val="28"/>
        </w:rPr>
        <w:t>. Gli operai pietroburghesi sotto la guide del pope Georgij Gapon, organizzarono una manifestazione il 9 Gennaio. Erano intenti a presentare una petizione direttamente allo zar. Richiedevano maggiore giustizia sociale e rivendicazioni politiche. L’esercito e la polizia ricevettero l’ordine di fermare i manifestanti e ne scaturì una carneficina: almeno 150. Questo evento suscitò rabbia e indignazione in tutto il paese.</w:t>
      </w:r>
    </w:p>
    <w:p w:rsidR="00887818" w:rsidRPr="00251257" w:rsidRDefault="00887818" w:rsidP="000B2651">
      <w:pPr>
        <w:jc w:val="both"/>
        <w:rPr>
          <w:sz w:val="28"/>
        </w:rPr>
      </w:pPr>
      <w:r>
        <w:rPr>
          <w:noProof/>
        </w:rPr>
        <w:drawing>
          <wp:inline distT="0" distB="0" distL="0" distR="0">
            <wp:extent cx="2369309" cy="2069194"/>
            <wp:effectExtent l="19050" t="0" r="0" b="0"/>
            <wp:docPr id="265" name="Immagine 265" descr="Risultati immagini per domenica di san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Risultati immagini per domenica di sangue"/>
                    <pic:cNvPicPr>
                      <a:picLocks noChangeAspect="1" noChangeArrowheads="1"/>
                    </pic:cNvPicPr>
                  </pic:nvPicPr>
                  <pic:blipFill>
                    <a:blip r:embed="rId87"/>
                    <a:srcRect/>
                    <a:stretch>
                      <a:fillRect/>
                    </a:stretch>
                  </pic:blipFill>
                  <pic:spPr bwMode="auto">
                    <a:xfrm>
                      <a:off x="0" y="0"/>
                      <a:ext cx="2371157" cy="2070808"/>
                    </a:xfrm>
                    <a:prstGeom prst="rect">
                      <a:avLst/>
                    </a:prstGeom>
                    <a:noFill/>
                    <a:ln w="9525">
                      <a:noFill/>
                      <a:miter lim="800000"/>
                      <a:headEnd/>
                      <a:tailEnd/>
                    </a:ln>
                  </pic:spPr>
                </pic:pic>
              </a:graphicData>
            </a:graphic>
          </wp:inline>
        </w:drawing>
      </w:r>
      <w:r w:rsidRPr="00887818">
        <w:t xml:space="preserve"> </w:t>
      </w:r>
      <w:r>
        <w:rPr>
          <w:rStyle w:val="Rimandonotaapidipagina"/>
        </w:rPr>
        <w:footnoteReference w:id="24"/>
      </w:r>
      <w:r>
        <w:rPr>
          <w:noProof/>
        </w:rPr>
        <w:drawing>
          <wp:inline distT="0" distB="0" distL="0" distR="0">
            <wp:extent cx="2894747" cy="2064990"/>
            <wp:effectExtent l="19050" t="0" r="853" b="0"/>
            <wp:docPr id="268" name="Immagine 268" descr="Risultati immagini per domenica di sang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Risultati immagini per domenica di sangue"/>
                    <pic:cNvPicPr>
                      <a:picLocks noChangeAspect="1" noChangeArrowheads="1"/>
                    </pic:cNvPicPr>
                  </pic:nvPicPr>
                  <pic:blipFill>
                    <a:blip r:embed="rId88"/>
                    <a:srcRect/>
                    <a:stretch>
                      <a:fillRect/>
                    </a:stretch>
                  </pic:blipFill>
                  <pic:spPr bwMode="auto">
                    <a:xfrm>
                      <a:off x="0" y="0"/>
                      <a:ext cx="2894725" cy="2064975"/>
                    </a:xfrm>
                    <a:prstGeom prst="rect">
                      <a:avLst/>
                    </a:prstGeom>
                    <a:noFill/>
                    <a:ln w="9525">
                      <a:noFill/>
                      <a:miter lim="800000"/>
                      <a:headEnd/>
                      <a:tailEnd/>
                    </a:ln>
                  </pic:spPr>
                </pic:pic>
              </a:graphicData>
            </a:graphic>
          </wp:inline>
        </w:drawing>
      </w:r>
      <w:r>
        <w:rPr>
          <w:rStyle w:val="Rimandonotaapidipagina"/>
        </w:rPr>
        <w:footnoteReference w:id="25"/>
      </w:r>
    </w:p>
    <w:p w:rsidR="00C74B63" w:rsidRDefault="00887818" w:rsidP="000B2651">
      <w:pPr>
        <w:jc w:val="both"/>
        <w:rPr>
          <w:sz w:val="28"/>
        </w:rPr>
      </w:pPr>
      <w:r>
        <w:rPr>
          <w:sz w:val="28"/>
        </w:rPr>
        <w:t>Gli scipoperi divamparono: da San Pietroburgo si diffusero a Mosca, Vlnius, Varsavia, Riga, Tbilisi e Baku.</w:t>
      </w:r>
      <w:r w:rsidR="0043362D">
        <w:rPr>
          <w:sz w:val="28"/>
        </w:rPr>
        <w:t xml:space="preserve"> I lavoratori ottennero buoni risultati per quanto riguarda la </w:t>
      </w:r>
      <w:r w:rsidR="0043362D">
        <w:rPr>
          <w:sz w:val="28"/>
        </w:rPr>
        <w:lastRenderedPageBreak/>
        <w:t>rivendicazione salariale. Il movimento operaio fiorì: si formarono spontaneamente sindacati e leghe. Erano soprattutto socialdemocratici e social rivoluzionari.</w:t>
      </w:r>
    </w:p>
    <w:p w:rsidR="0043362D" w:rsidRDefault="0043362D" w:rsidP="000B2651">
      <w:pPr>
        <w:jc w:val="both"/>
        <w:rPr>
          <w:sz w:val="28"/>
        </w:rPr>
      </w:pPr>
      <w:r>
        <w:rPr>
          <w:sz w:val="28"/>
        </w:rPr>
        <w:t>In Polonia, nei Paesi Baltici, in Georgia, le agitazioni sociali si intrecciavano spesso con i movimenti nazionali. Fin dal 1904 si erano organizzati partiti politici delle nazionalità non russe (come finlandesi, polacchi, ucraini, georgiane). Chiedevano la fine dell’autocrazie, maggiore autonomia e la riforma federale dell’Impero. Era una reazione alle politiche di russificazione.</w:t>
      </w:r>
    </w:p>
    <w:p w:rsidR="0043362D" w:rsidRDefault="0043362D" w:rsidP="000B2651">
      <w:pPr>
        <w:jc w:val="both"/>
        <w:rPr>
          <w:sz w:val="28"/>
        </w:rPr>
      </w:pPr>
      <w:r>
        <w:rPr>
          <w:sz w:val="28"/>
        </w:rPr>
        <w:t>Anche il movimento studentesco prese vigore con scioperi universitari. Nei mesi di Febbraio-Marzo ricominciarono i primi disordini nelle campagne: i contadini accedevano ai boschi, confiscavano grano e attaccavano i ricchi.</w:t>
      </w:r>
    </w:p>
    <w:p w:rsidR="0043362D" w:rsidRDefault="0043362D" w:rsidP="000B2651">
      <w:pPr>
        <w:jc w:val="both"/>
        <w:rPr>
          <w:sz w:val="28"/>
        </w:rPr>
      </w:pPr>
      <w:r>
        <w:rPr>
          <w:sz w:val="28"/>
        </w:rPr>
        <w:t>Il 9 Gennaio aveva inaugurato una stagione di ricorso alla violenza e di rottura della legalità. Questa fase durò un anno all’incirca. L’autocrazia mostrò tutti i suoi limiti sotto la spinta della protesta. I limiti erano il sistema di comando “autocratico-burocratico” e il potere personalistico di Nicola II.</w:t>
      </w:r>
    </w:p>
    <w:p w:rsidR="0043362D" w:rsidRPr="00C93F88" w:rsidRDefault="0043362D" w:rsidP="000B2651">
      <w:pPr>
        <w:jc w:val="both"/>
        <w:rPr>
          <w:sz w:val="28"/>
        </w:rPr>
      </w:pPr>
      <w:r>
        <w:rPr>
          <w:sz w:val="28"/>
        </w:rPr>
        <w:t>Nel 18 Febbraio Nicola II promulgò un Rescritto in cui assegnava al nuovo ministro dell’Interno Aleksandr Bulgyn</w:t>
      </w:r>
      <w:r w:rsidR="00C93F88">
        <w:rPr>
          <w:sz w:val="28"/>
        </w:rPr>
        <w:t xml:space="preserve"> il compito di presiedere una commissione che preparasse un progetto di assemblea rappresentativa. L’ukaz sollecitava i privati ad esprimere le proprie idee. Iniziò una fase febbrile di dibattiti e consultazioni: si confrontarono gli statuti stranieri e furono coinvolti i rappresentati degli </w:t>
      </w:r>
      <w:r w:rsidR="00C93F88">
        <w:rPr>
          <w:i/>
          <w:sz w:val="28"/>
        </w:rPr>
        <w:t>zemstva</w:t>
      </w:r>
      <w:r w:rsidR="00C93F88">
        <w:rPr>
          <w:sz w:val="28"/>
        </w:rPr>
        <w:t>, gli esponenti dell’</w:t>
      </w:r>
      <w:r w:rsidR="00C93F88">
        <w:rPr>
          <w:i/>
          <w:sz w:val="28"/>
        </w:rPr>
        <w:t>intelligencija</w:t>
      </w:r>
      <w:r w:rsidR="00C93F88">
        <w:rPr>
          <w:sz w:val="28"/>
        </w:rPr>
        <w:t>.</w:t>
      </w:r>
    </w:p>
    <w:p w:rsidR="0043362D" w:rsidRPr="00887818" w:rsidRDefault="0043362D" w:rsidP="000B2651">
      <w:pPr>
        <w:jc w:val="both"/>
        <w:rPr>
          <w:sz w:val="28"/>
        </w:rPr>
      </w:pPr>
      <w:r>
        <w:rPr>
          <w:noProof/>
        </w:rPr>
        <w:drawing>
          <wp:inline distT="0" distB="0" distL="0" distR="0">
            <wp:extent cx="2034938" cy="2202426"/>
            <wp:effectExtent l="19050" t="0" r="3412" b="0"/>
            <wp:docPr id="271" name="Immagine 271" descr="https://upload.wikimedia.org/wikipedia/commons/thumb/0/02/Alexander_Bulygin.jpg/800px-Alexander_Bulyg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ttps://upload.wikimedia.org/wikipedia/commons/thumb/0/02/Alexander_Bulygin.jpg/800px-Alexander_Bulygin.jpg"/>
                    <pic:cNvPicPr>
                      <a:picLocks noChangeAspect="1" noChangeArrowheads="1"/>
                    </pic:cNvPicPr>
                  </pic:nvPicPr>
                  <pic:blipFill>
                    <a:blip r:embed="rId89"/>
                    <a:srcRect/>
                    <a:stretch>
                      <a:fillRect/>
                    </a:stretch>
                  </pic:blipFill>
                  <pic:spPr bwMode="auto">
                    <a:xfrm>
                      <a:off x="0" y="0"/>
                      <a:ext cx="2034282" cy="2201716"/>
                    </a:xfrm>
                    <a:prstGeom prst="rect">
                      <a:avLst/>
                    </a:prstGeom>
                    <a:noFill/>
                    <a:ln w="9525">
                      <a:noFill/>
                      <a:miter lim="800000"/>
                      <a:headEnd/>
                      <a:tailEnd/>
                    </a:ln>
                  </pic:spPr>
                </pic:pic>
              </a:graphicData>
            </a:graphic>
          </wp:inline>
        </w:drawing>
      </w:r>
      <w:r w:rsidR="00C93F88">
        <w:rPr>
          <w:rStyle w:val="Rimandonotaapidipagina"/>
        </w:rPr>
        <w:footnoteReference w:id="26"/>
      </w:r>
      <w:r w:rsidRPr="0043362D">
        <w:t xml:space="preserve"> </w:t>
      </w:r>
      <w:r>
        <w:rPr>
          <w:noProof/>
        </w:rPr>
        <w:drawing>
          <wp:inline distT="0" distB="0" distL="0" distR="0">
            <wp:extent cx="3780940" cy="2202580"/>
            <wp:effectExtent l="19050" t="0" r="0" b="0"/>
            <wp:docPr id="274" name="Immagine 274" descr="Risultati immagini per nicola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Risultati immagini per nicola II"/>
                    <pic:cNvPicPr>
                      <a:picLocks noChangeAspect="1" noChangeArrowheads="1"/>
                    </pic:cNvPicPr>
                  </pic:nvPicPr>
                  <pic:blipFill>
                    <a:blip r:embed="rId90"/>
                    <a:srcRect/>
                    <a:stretch>
                      <a:fillRect/>
                    </a:stretch>
                  </pic:blipFill>
                  <pic:spPr bwMode="auto">
                    <a:xfrm>
                      <a:off x="0" y="0"/>
                      <a:ext cx="3782961" cy="2203757"/>
                    </a:xfrm>
                    <a:prstGeom prst="rect">
                      <a:avLst/>
                    </a:prstGeom>
                    <a:noFill/>
                    <a:ln w="9525">
                      <a:noFill/>
                      <a:miter lim="800000"/>
                      <a:headEnd/>
                      <a:tailEnd/>
                    </a:ln>
                  </pic:spPr>
                </pic:pic>
              </a:graphicData>
            </a:graphic>
          </wp:inline>
        </w:drawing>
      </w:r>
    </w:p>
    <w:p w:rsidR="0036302F" w:rsidRDefault="00C93F88" w:rsidP="000B2651">
      <w:pPr>
        <w:jc w:val="both"/>
        <w:rPr>
          <w:sz w:val="28"/>
        </w:rPr>
      </w:pPr>
      <w:r>
        <w:rPr>
          <w:sz w:val="28"/>
        </w:rPr>
        <w:t>Il movimento di liberazione richiedeva il suffragio universale a “4 code”:</w:t>
      </w:r>
    </w:p>
    <w:tbl>
      <w:tblPr>
        <w:tblStyle w:val="Grigliatabella"/>
        <w:tblW w:w="0" w:type="auto"/>
        <w:tblLook w:val="04A0"/>
      </w:tblPr>
      <w:tblGrid>
        <w:gridCol w:w="2444"/>
        <w:gridCol w:w="2444"/>
        <w:gridCol w:w="2445"/>
        <w:gridCol w:w="2445"/>
      </w:tblGrid>
      <w:tr w:rsidR="00C93F88" w:rsidTr="00C93F88">
        <w:tc>
          <w:tcPr>
            <w:tcW w:w="2444" w:type="dxa"/>
          </w:tcPr>
          <w:p w:rsidR="00C93F88" w:rsidRDefault="00C93F88" w:rsidP="000B2651">
            <w:pPr>
              <w:jc w:val="both"/>
              <w:rPr>
                <w:sz w:val="28"/>
              </w:rPr>
            </w:pPr>
            <w:r>
              <w:rPr>
                <w:sz w:val="28"/>
              </w:rPr>
              <w:lastRenderedPageBreak/>
              <w:t>Universale</w:t>
            </w:r>
          </w:p>
        </w:tc>
        <w:tc>
          <w:tcPr>
            <w:tcW w:w="2444" w:type="dxa"/>
          </w:tcPr>
          <w:p w:rsidR="00C93F88" w:rsidRDefault="00C93F88" w:rsidP="000B2651">
            <w:pPr>
              <w:jc w:val="both"/>
              <w:rPr>
                <w:sz w:val="28"/>
              </w:rPr>
            </w:pPr>
            <w:r>
              <w:rPr>
                <w:sz w:val="28"/>
              </w:rPr>
              <w:t>Diretto</w:t>
            </w:r>
          </w:p>
        </w:tc>
        <w:tc>
          <w:tcPr>
            <w:tcW w:w="2445" w:type="dxa"/>
          </w:tcPr>
          <w:p w:rsidR="00C93F88" w:rsidRDefault="00C93F88" w:rsidP="000B2651">
            <w:pPr>
              <w:jc w:val="both"/>
              <w:rPr>
                <w:sz w:val="28"/>
              </w:rPr>
            </w:pPr>
            <w:r>
              <w:rPr>
                <w:sz w:val="28"/>
              </w:rPr>
              <w:t>Uguale</w:t>
            </w:r>
          </w:p>
        </w:tc>
        <w:tc>
          <w:tcPr>
            <w:tcW w:w="2445" w:type="dxa"/>
          </w:tcPr>
          <w:p w:rsidR="00C93F88" w:rsidRDefault="00C93F88" w:rsidP="000B2651">
            <w:pPr>
              <w:jc w:val="both"/>
              <w:rPr>
                <w:sz w:val="28"/>
              </w:rPr>
            </w:pPr>
            <w:r>
              <w:rPr>
                <w:sz w:val="28"/>
              </w:rPr>
              <w:t>Segreto</w:t>
            </w:r>
          </w:p>
        </w:tc>
      </w:tr>
    </w:tbl>
    <w:p w:rsidR="00C93F88" w:rsidRDefault="00C93F88" w:rsidP="000B2651">
      <w:pPr>
        <w:jc w:val="both"/>
        <w:rPr>
          <w:sz w:val="28"/>
        </w:rPr>
      </w:pPr>
    </w:p>
    <w:p w:rsidR="00C93F88" w:rsidRDefault="00C93F88" w:rsidP="000B2651">
      <w:pPr>
        <w:jc w:val="both"/>
        <w:rPr>
          <w:sz w:val="28"/>
        </w:rPr>
      </w:pPr>
      <w:r>
        <w:rPr>
          <w:sz w:val="28"/>
        </w:rPr>
        <w:t>Inoltre di si richiedeva il parlamentarismo, solo i socialisti e i radicali invocavano la caduta dell’autocrazia. Seguì una fase di ampia libertà di stampa nel 1905. I docenti universitari formarono la Lega accademica  e criticava le posizioni di governo. L’8 e il 9 maggio a Mosca si costituirono la Lega delle leghe (leghe professionali unite).</w:t>
      </w:r>
    </w:p>
    <w:p w:rsidR="00C93F88" w:rsidRDefault="00C93F88" w:rsidP="000B2651">
      <w:pPr>
        <w:pStyle w:val="Titolo2"/>
        <w:jc w:val="both"/>
        <w:rPr>
          <w:sz w:val="28"/>
        </w:rPr>
      </w:pPr>
      <w:bookmarkStart w:id="15" w:name="_Toc493625440"/>
      <w:r w:rsidRPr="00C93F88">
        <w:rPr>
          <w:sz w:val="28"/>
        </w:rPr>
        <w:t>La mobilitazione generale contro l’autocrazia (Maggio-Ottobre 1905)</w:t>
      </w:r>
      <w:bookmarkEnd w:id="15"/>
    </w:p>
    <w:p w:rsidR="00D96AD3" w:rsidRPr="00D96AD3" w:rsidRDefault="00D96AD3" w:rsidP="000B2651">
      <w:pPr>
        <w:jc w:val="both"/>
        <w:rPr>
          <w:sz w:val="28"/>
        </w:rPr>
      </w:pPr>
      <w:r>
        <w:rPr>
          <w:sz w:val="28"/>
        </w:rPr>
        <w:t>Nel 27 maggio 1905 con la disfatta di Tsushima, la flotta del Baltico fu distrutta. Questa sconfitta fu vissuta con insofferenza persino nell’ala moderata della nobiltà e della burocrazia. Tutti chiedevano un cambiamento politico a Nicola II.</w:t>
      </w:r>
    </w:p>
    <w:p w:rsidR="00C93F88" w:rsidRDefault="00D96AD3" w:rsidP="000B2651">
      <w:pPr>
        <w:jc w:val="both"/>
      </w:pPr>
      <w:r>
        <w:rPr>
          <w:noProof/>
        </w:rPr>
        <w:drawing>
          <wp:inline distT="0" distB="0" distL="0" distR="0">
            <wp:extent cx="3092640" cy="2178812"/>
            <wp:effectExtent l="19050" t="0" r="0" b="0"/>
            <wp:docPr id="277" name="Immagine 277" descr="https://upload.wikimedia.org/wikipedia/commons/thumb/0/0e/Tsushima_battle_map-en.svg/800px-Tsushima_battle_map-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upload.wikimedia.org/wikipedia/commons/thumb/0/0e/Tsushima_battle_map-en.svg/800px-Tsushima_battle_map-en.svg.png"/>
                    <pic:cNvPicPr>
                      <a:picLocks noChangeAspect="1" noChangeArrowheads="1"/>
                    </pic:cNvPicPr>
                  </pic:nvPicPr>
                  <pic:blipFill>
                    <a:blip r:embed="rId91"/>
                    <a:srcRect/>
                    <a:stretch>
                      <a:fillRect/>
                    </a:stretch>
                  </pic:blipFill>
                  <pic:spPr bwMode="auto">
                    <a:xfrm>
                      <a:off x="0" y="0"/>
                      <a:ext cx="3091945" cy="2178322"/>
                    </a:xfrm>
                    <a:prstGeom prst="rect">
                      <a:avLst/>
                    </a:prstGeom>
                    <a:noFill/>
                    <a:ln w="9525">
                      <a:noFill/>
                      <a:miter lim="800000"/>
                      <a:headEnd/>
                      <a:tailEnd/>
                    </a:ln>
                  </pic:spPr>
                </pic:pic>
              </a:graphicData>
            </a:graphic>
          </wp:inline>
        </w:drawing>
      </w:r>
      <w:r w:rsidRPr="00D96AD3">
        <w:t xml:space="preserve"> </w:t>
      </w:r>
      <w:r>
        <w:rPr>
          <w:noProof/>
        </w:rPr>
        <w:drawing>
          <wp:inline distT="0" distB="0" distL="0" distR="0">
            <wp:extent cx="1583140" cy="2176818"/>
            <wp:effectExtent l="19050" t="0" r="0" b="0"/>
            <wp:docPr id="280" name="Immagine 280" descr="https://upload.wikimedia.org/wikipedia/commons/4/45/MIKASAGU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upload.wikimedia.org/wikipedia/commons/4/45/MIKASAGUNS.jpg"/>
                    <pic:cNvPicPr>
                      <a:picLocks noChangeAspect="1" noChangeArrowheads="1"/>
                    </pic:cNvPicPr>
                  </pic:nvPicPr>
                  <pic:blipFill>
                    <a:blip r:embed="rId92" cstate="print"/>
                    <a:srcRect/>
                    <a:stretch>
                      <a:fillRect/>
                    </a:stretch>
                  </pic:blipFill>
                  <pic:spPr bwMode="auto">
                    <a:xfrm>
                      <a:off x="0" y="0"/>
                      <a:ext cx="1583171" cy="2176860"/>
                    </a:xfrm>
                    <a:prstGeom prst="rect">
                      <a:avLst/>
                    </a:prstGeom>
                    <a:noFill/>
                    <a:ln w="9525">
                      <a:noFill/>
                      <a:miter lim="800000"/>
                      <a:headEnd/>
                      <a:tailEnd/>
                    </a:ln>
                  </pic:spPr>
                </pic:pic>
              </a:graphicData>
            </a:graphic>
          </wp:inline>
        </w:drawing>
      </w:r>
      <w:r>
        <w:rPr>
          <w:rStyle w:val="Rimandonotaapidipagina"/>
        </w:rPr>
        <w:footnoteReference w:id="27"/>
      </w:r>
    </w:p>
    <w:p w:rsidR="00D96AD3" w:rsidRDefault="00D96AD3" w:rsidP="000B2651">
      <w:pPr>
        <w:jc w:val="both"/>
        <w:rPr>
          <w:sz w:val="28"/>
        </w:rPr>
      </w:pPr>
      <w:r>
        <w:rPr>
          <w:sz w:val="28"/>
        </w:rPr>
        <w:t>Da Maggio fino a Ottobre il movimento di protesta fu generale, dato lo spettro amplissimo delle forze politiche e sociali.</w:t>
      </w:r>
    </w:p>
    <w:p w:rsidR="00D96AD3" w:rsidRDefault="00D96AD3" w:rsidP="000B2651">
      <w:pPr>
        <w:jc w:val="both"/>
        <w:rPr>
          <w:sz w:val="28"/>
        </w:rPr>
      </w:pPr>
      <w:r>
        <w:rPr>
          <w:sz w:val="28"/>
        </w:rPr>
        <w:t xml:space="preserve">Il 6 giugno l’ala moderata e i vertici degli </w:t>
      </w:r>
      <w:r>
        <w:rPr>
          <w:i/>
          <w:sz w:val="28"/>
        </w:rPr>
        <w:t>zemstva</w:t>
      </w:r>
      <w:r>
        <w:rPr>
          <w:sz w:val="28"/>
        </w:rPr>
        <w:t xml:space="preserve"> chiedevano una petizione allo Zar con toni concilianti in modo da formare una rappresentanza popolare e calmare le acque. Ma Nicola II fu intransigente. La stessa Lega delle Leghe si aspettava questa reazione.</w:t>
      </w:r>
    </w:p>
    <w:p w:rsidR="001B22D2" w:rsidRDefault="001B22D2" w:rsidP="000B2651">
      <w:pPr>
        <w:jc w:val="both"/>
        <w:rPr>
          <w:sz w:val="28"/>
        </w:rPr>
      </w:pPr>
      <w:r>
        <w:rPr>
          <w:noProof/>
        </w:rPr>
        <w:lastRenderedPageBreak/>
        <w:drawing>
          <wp:inline distT="0" distB="0" distL="0" distR="0">
            <wp:extent cx="2967273" cy="1767385"/>
            <wp:effectExtent l="19050" t="0" r="4527" b="0"/>
            <wp:docPr id="283" name="Immagine 283" descr="Risultati immagini per ammutinamento corazzata potem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Risultati immagini per ammutinamento corazzata potemkin"/>
                    <pic:cNvPicPr>
                      <a:picLocks noChangeAspect="1" noChangeArrowheads="1"/>
                    </pic:cNvPicPr>
                  </pic:nvPicPr>
                  <pic:blipFill>
                    <a:blip r:embed="rId93"/>
                    <a:srcRect/>
                    <a:stretch>
                      <a:fillRect/>
                    </a:stretch>
                  </pic:blipFill>
                  <pic:spPr bwMode="auto">
                    <a:xfrm>
                      <a:off x="0" y="0"/>
                      <a:ext cx="2967369" cy="1767442"/>
                    </a:xfrm>
                    <a:prstGeom prst="rect">
                      <a:avLst/>
                    </a:prstGeom>
                    <a:noFill/>
                    <a:ln w="9525">
                      <a:noFill/>
                      <a:miter lim="800000"/>
                      <a:headEnd/>
                      <a:tailEnd/>
                    </a:ln>
                  </pic:spPr>
                </pic:pic>
              </a:graphicData>
            </a:graphic>
          </wp:inline>
        </w:drawing>
      </w:r>
      <w:r w:rsidRPr="001B22D2">
        <w:t xml:space="preserve"> </w:t>
      </w:r>
      <w:r>
        <w:rPr>
          <w:noProof/>
        </w:rPr>
        <w:drawing>
          <wp:inline distT="0" distB="0" distL="0" distR="0">
            <wp:extent cx="2695433" cy="1788048"/>
            <wp:effectExtent l="19050" t="0" r="0" b="0"/>
            <wp:docPr id="286" name="Immagine 286" descr="Risultati immagini per ammutinamento corazzata potemk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Risultati immagini per ammutinamento corazzata potemkin"/>
                    <pic:cNvPicPr>
                      <a:picLocks noChangeAspect="1" noChangeArrowheads="1"/>
                    </pic:cNvPicPr>
                  </pic:nvPicPr>
                  <pic:blipFill>
                    <a:blip r:embed="rId94"/>
                    <a:srcRect/>
                    <a:stretch>
                      <a:fillRect/>
                    </a:stretch>
                  </pic:blipFill>
                  <pic:spPr bwMode="auto">
                    <a:xfrm>
                      <a:off x="0" y="0"/>
                      <a:ext cx="2698734" cy="1790238"/>
                    </a:xfrm>
                    <a:prstGeom prst="rect">
                      <a:avLst/>
                    </a:prstGeom>
                    <a:noFill/>
                    <a:ln w="9525">
                      <a:noFill/>
                      <a:miter lim="800000"/>
                      <a:headEnd/>
                      <a:tailEnd/>
                    </a:ln>
                  </pic:spPr>
                </pic:pic>
              </a:graphicData>
            </a:graphic>
          </wp:inline>
        </w:drawing>
      </w:r>
    </w:p>
    <w:p w:rsidR="00D96AD3" w:rsidRDefault="00D96AD3" w:rsidP="000B2651">
      <w:pPr>
        <w:jc w:val="both"/>
        <w:rPr>
          <w:sz w:val="28"/>
        </w:rPr>
      </w:pPr>
      <w:r>
        <w:rPr>
          <w:sz w:val="28"/>
        </w:rPr>
        <w:t>A metà Giugno Odessa divenne il centro di grandissimi scioperi e manifestazioni. L’insurrezione coinvolse i marinai della flotta del Mar Nero. Era il famoso ammutinamento sulla corazzata Potemkin</w:t>
      </w:r>
      <w:r w:rsidR="00CC0F56">
        <w:rPr>
          <w:sz w:val="28"/>
        </w:rPr>
        <w:t>.</w:t>
      </w:r>
    </w:p>
    <w:p w:rsidR="001B22D2" w:rsidRDefault="001B22D2" w:rsidP="000B2651">
      <w:pPr>
        <w:jc w:val="both"/>
        <w:rPr>
          <w:sz w:val="28"/>
        </w:rPr>
      </w:pPr>
      <w:r>
        <w:rPr>
          <w:sz w:val="28"/>
        </w:rPr>
        <w:t xml:space="preserve">La rivoluzione divampò nelle campagne. Fu uno choc per i conservatori che ritenevano i contadini fedeli allo zar. Seguirono saccheggi, incendi, violenze sui proprietari terrieri e funzionari del governo. Tutti temevano la materializzazione della </w:t>
      </w:r>
      <w:r>
        <w:rPr>
          <w:i/>
          <w:sz w:val="28"/>
        </w:rPr>
        <w:t xml:space="preserve">pugavescina </w:t>
      </w:r>
      <w:r>
        <w:rPr>
          <w:sz w:val="28"/>
        </w:rPr>
        <w:t>(putgsdirsina): la ribellione contadina.</w:t>
      </w:r>
    </w:p>
    <w:p w:rsidR="001B22D2" w:rsidRDefault="001B22D2" w:rsidP="000B2651">
      <w:pPr>
        <w:jc w:val="both"/>
        <w:rPr>
          <w:sz w:val="28"/>
        </w:rPr>
      </w:pPr>
      <w:r>
        <w:rPr>
          <w:sz w:val="28"/>
        </w:rPr>
        <w:t>Fra fine Luglio e inizio di Agosto si riunì clandestinamente il 1° Congresso della Lega panrussa contadina, evento sorprendente date le passate carenze di organizzazione dei contadini. La riforma di confisca di tutte le terre dei proprietari difficilmente poteva essere accettata dalla nobiltà proprietaria.</w:t>
      </w:r>
    </w:p>
    <w:p w:rsidR="001B22D2" w:rsidRDefault="001B22D2" w:rsidP="000B2651">
      <w:pPr>
        <w:jc w:val="both"/>
        <w:rPr>
          <w:sz w:val="28"/>
        </w:rPr>
      </w:pPr>
      <w:r>
        <w:rPr>
          <w:sz w:val="28"/>
        </w:rPr>
        <w:t>La Commissione Bulygin aveva terminato i lavori e promulgò il 6 agosto un Manifesto imperiale. Era la legge istitutiva della Duma di Stato:</w:t>
      </w:r>
    </w:p>
    <w:p w:rsidR="001B22D2" w:rsidRDefault="001B22D2" w:rsidP="000B2651">
      <w:pPr>
        <w:pStyle w:val="Paragrafoelenco"/>
        <w:numPr>
          <w:ilvl w:val="0"/>
          <w:numId w:val="23"/>
        </w:numPr>
        <w:jc w:val="both"/>
        <w:rPr>
          <w:sz w:val="28"/>
        </w:rPr>
      </w:pPr>
      <w:r>
        <w:rPr>
          <w:sz w:val="28"/>
        </w:rPr>
        <w:t>Si prospettava un’assemblea rappresentativa, la Duma, solo con poteri consultivi</w:t>
      </w:r>
    </w:p>
    <w:p w:rsidR="001B22D2" w:rsidRDefault="001B22D2" w:rsidP="000B2651">
      <w:pPr>
        <w:pStyle w:val="Paragrafoelenco"/>
        <w:numPr>
          <w:ilvl w:val="0"/>
          <w:numId w:val="23"/>
        </w:numPr>
        <w:jc w:val="both"/>
        <w:rPr>
          <w:sz w:val="28"/>
        </w:rPr>
      </w:pPr>
      <w:r>
        <w:rPr>
          <w:sz w:val="28"/>
        </w:rPr>
        <w:t xml:space="preserve">Il suffragio era limitato in base al modello delle curie degli </w:t>
      </w:r>
      <w:r>
        <w:rPr>
          <w:i/>
          <w:sz w:val="28"/>
        </w:rPr>
        <w:t>zemstva</w:t>
      </w:r>
    </w:p>
    <w:p w:rsidR="001B22D2" w:rsidRPr="001B22D2" w:rsidRDefault="001B22D2" w:rsidP="000B2651">
      <w:pPr>
        <w:pStyle w:val="Paragrafoelenco"/>
        <w:numPr>
          <w:ilvl w:val="0"/>
          <w:numId w:val="23"/>
        </w:numPr>
        <w:jc w:val="both"/>
        <w:rPr>
          <w:sz w:val="28"/>
        </w:rPr>
      </w:pPr>
      <w:r>
        <w:rPr>
          <w:sz w:val="28"/>
        </w:rPr>
        <w:t xml:space="preserve">Furono esclusi operai e </w:t>
      </w:r>
      <w:r w:rsidRPr="001B22D2">
        <w:rPr>
          <w:i/>
          <w:sz w:val="28"/>
        </w:rPr>
        <w:t>intelligencija</w:t>
      </w:r>
    </w:p>
    <w:p w:rsidR="001B22D2" w:rsidRDefault="001B22D2" w:rsidP="000B2651">
      <w:pPr>
        <w:jc w:val="both"/>
        <w:rPr>
          <w:sz w:val="28"/>
        </w:rPr>
      </w:pPr>
      <w:r>
        <w:rPr>
          <w:sz w:val="28"/>
        </w:rPr>
        <w:t>Nicola II aveva concesso “troppo poco, troppo tardi”. La “duma di Bulygin” fu accolta negativamente, anche dai costituzionalisti. Fu inaugurata il 18 Febbraio.</w:t>
      </w:r>
    </w:p>
    <w:p w:rsidR="009A5ABC" w:rsidRDefault="009A5ABC" w:rsidP="000B2651">
      <w:pPr>
        <w:jc w:val="both"/>
        <w:rPr>
          <w:sz w:val="28"/>
        </w:rPr>
      </w:pPr>
      <w:r>
        <w:rPr>
          <w:sz w:val="28"/>
        </w:rPr>
        <w:t>Witte, grazie all’apporto degli U.S.A, siglò il Trattato di Portsmuth con il Giappone fra il 23 agosto e il 5 settembre 1906. Witte ottenne condizioni favorevoli: cedette la penisola di Liatung e la metà meridionale di Sachalin ma non indennizzò i Giapponesi.</w:t>
      </w:r>
    </w:p>
    <w:p w:rsidR="009A5ABC" w:rsidRDefault="009A5ABC" w:rsidP="000B2651">
      <w:pPr>
        <w:jc w:val="both"/>
        <w:rPr>
          <w:sz w:val="28"/>
        </w:rPr>
      </w:pPr>
      <w:r>
        <w:rPr>
          <w:sz w:val="28"/>
        </w:rPr>
        <w:lastRenderedPageBreak/>
        <w:t xml:space="preserve">Il movimento contadino e operaio si attenuarono. Però fu riaperta l’autonomia universitario dopo che era stata decurtata nel 1884. Il movimento studentesco rinvigorì la mobilitazione politica urbana e il movimento operaio: questo movimento fu detto </w:t>
      </w:r>
      <w:r>
        <w:rPr>
          <w:i/>
          <w:sz w:val="28"/>
        </w:rPr>
        <w:t xml:space="preserve">mitingovanie </w:t>
      </w:r>
      <w:r>
        <w:rPr>
          <w:sz w:val="28"/>
        </w:rPr>
        <w:t xml:space="preserve">(movimenti di confronti politici e dibatti pubblici). </w:t>
      </w:r>
    </w:p>
    <w:p w:rsidR="009A5ABC" w:rsidRDefault="009A5ABC" w:rsidP="000B2651">
      <w:pPr>
        <w:jc w:val="both"/>
        <w:rPr>
          <w:sz w:val="28"/>
        </w:rPr>
      </w:pPr>
      <w:r>
        <w:rPr>
          <w:sz w:val="28"/>
        </w:rPr>
        <w:t xml:space="preserve">A Mosca dal 12 al 15 settembre si tenne il 2° Congresso congiunto degli </w:t>
      </w:r>
      <w:r>
        <w:rPr>
          <w:i/>
          <w:sz w:val="28"/>
        </w:rPr>
        <w:t>zemstva</w:t>
      </w:r>
      <w:r>
        <w:rPr>
          <w:sz w:val="28"/>
        </w:rPr>
        <w:t xml:space="preserve"> e delle dume municipali. Si sollecitava una revisione in senso democratico della legge elettorale, il riconoscimento delle nazionalità,  dell’autogoverno e del decentramento amministrativo.</w:t>
      </w:r>
    </w:p>
    <w:p w:rsidR="00E33835" w:rsidRDefault="00E33835" w:rsidP="000B2651">
      <w:pPr>
        <w:pStyle w:val="Titolo2"/>
        <w:jc w:val="both"/>
        <w:rPr>
          <w:sz w:val="28"/>
        </w:rPr>
      </w:pPr>
      <w:bookmarkStart w:id="16" w:name="_Toc493625441"/>
      <w:r w:rsidRPr="00E33835">
        <w:rPr>
          <w:sz w:val="28"/>
        </w:rPr>
        <w:t>Lo scontro frontale (Ottobre-Dicembre 1905)</w:t>
      </w:r>
      <w:bookmarkEnd w:id="16"/>
    </w:p>
    <w:p w:rsidR="00E33835" w:rsidRDefault="00026E9A" w:rsidP="000B2651">
      <w:pPr>
        <w:jc w:val="both"/>
        <w:rPr>
          <w:sz w:val="28"/>
        </w:rPr>
      </w:pPr>
      <w:r>
        <w:rPr>
          <w:sz w:val="28"/>
        </w:rPr>
        <w:t>Nel Settembre del 1906 tipografi di Mosca andarono in sciopero, seguiti dai tipografi di San Pietroburgo. Il 6 Ottobre fu il turno dello sciopero delle ferrovie a Mosca, che si estese a livello nazionale. Il 12 Ottobre lo sciopero divenne generale e paralizzò il paese dal punto di vista ferroviario, postale e telegrafico.</w:t>
      </w:r>
    </w:p>
    <w:p w:rsidR="00026E9A" w:rsidRDefault="00026E9A" w:rsidP="000B2651">
      <w:pPr>
        <w:jc w:val="both"/>
        <w:rPr>
          <w:sz w:val="28"/>
        </w:rPr>
      </w:pPr>
      <w:r>
        <w:rPr>
          <w:noProof/>
        </w:rPr>
        <w:drawing>
          <wp:inline distT="0" distB="0" distL="0" distR="0">
            <wp:extent cx="1685221" cy="2311211"/>
            <wp:effectExtent l="19050" t="0" r="0" b="0"/>
            <wp:docPr id="289" name="Immagine 289" descr="Risultati immagini per lev davidovic bronst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descr="Risultati immagini per lev davidovic bronstein"/>
                    <pic:cNvPicPr>
                      <a:picLocks noChangeAspect="1" noChangeArrowheads="1"/>
                    </pic:cNvPicPr>
                  </pic:nvPicPr>
                  <pic:blipFill>
                    <a:blip r:embed="rId95" cstate="print"/>
                    <a:srcRect/>
                    <a:stretch>
                      <a:fillRect/>
                    </a:stretch>
                  </pic:blipFill>
                  <pic:spPr bwMode="auto">
                    <a:xfrm>
                      <a:off x="0" y="0"/>
                      <a:ext cx="1685488" cy="2311577"/>
                    </a:xfrm>
                    <a:prstGeom prst="rect">
                      <a:avLst/>
                    </a:prstGeom>
                    <a:noFill/>
                    <a:ln w="9525">
                      <a:noFill/>
                      <a:miter lim="800000"/>
                      <a:headEnd/>
                      <a:tailEnd/>
                    </a:ln>
                  </pic:spPr>
                </pic:pic>
              </a:graphicData>
            </a:graphic>
          </wp:inline>
        </w:drawing>
      </w:r>
      <w:r w:rsidRPr="00026E9A">
        <w:t xml:space="preserve"> </w:t>
      </w:r>
      <w:r>
        <w:rPr>
          <w:noProof/>
        </w:rPr>
        <w:drawing>
          <wp:inline distT="0" distB="0" distL="0" distR="0">
            <wp:extent cx="3574723" cy="2311604"/>
            <wp:effectExtent l="19050" t="0" r="6677" b="0"/>
            <wp:docPr id="292" name="Immagine 292" descr="https://upload.wikimedia.org/wikipedia/commons/thumb/4/46/1917petrogradsoviet_assembly.jpg/1024px-1917petrogradsoviet_assemb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ttps://upload.wikimedia.org/wikipedia/commons/thumb/4/46/1917petrogradsoviet_assembly.jpg/1024px-1917petrogradsoviet_assembly.jpg"/>
                    <pic:cNvPicPr>
                      <a:picLocks noChangeAspect="1" noChangeArrowheads="1"/>
                    </pic:cNvPicPr>
                  </pic:nvPicPr>
                  <pic:blipFill>
                    <a:blip r:embed="rId96"/>
                    <a:srcRect/>
                    <a:stretch>
                      <a:fillRect/>
                    </a:stretch>
                  </pic:blipFill>
                  <pic:spPr bwMode="auto">
                    <a:xfrm>
                      <a:off x="0" y="0"/>
                      <a:ext cx="3575732" cy="2312257"/>
                    </a:xfrm>
                    <a:prstGeom prst="rect">
                      <a:avLst/>
                    </a:prstGeom>
                    <a:noFill/>
                    <a:ln w="9525">
                      <a:noFill/>
                      <a:miter lim="800000"/>
                      <a:headEnd/>
                      <a:tailEnd/>
                    </a:ln>
                  </pic:spPr>
                </pic:pic>
              </a:graphicData>
            </a:graphic>
          </wp:inline>
        </w:drawing>
      </w:r>
    </w:p>
    <w:p w:rsidR="00026E9A" w:rsidRDefault="00026E9A" w:rsidP="000B2651">
      <w:pPr>
        <w:jc w:val="both"/>
        <w:rPr>
          <w:sz w:val="28"/>
        </w:rPr>
      </w:pPr>
      <w:r>
        <w:rPr>
          <w:sz w:val="28"/>
        </w:rPr>
        <w:t>Il 13 ottobre a San Pietroburgo si costituì il Soviet</w:t>
      </w:r>
      <w:r>
        <w:rPr>
          <w:rStyle w:val="Rimandonotaapidipagina"/>
          <w:sz w:val="28"/>
        </w:rPr>
        <w:footnoteReference w:id="28"/>
      </w:r>
      <w:r>
        <w:rPr>
          <w:sz w:val="28"/>
        </w:rPr>
        <w:t xml:space="preserve"> de deputati operai. Il Soviet aveva lo scopo di unificare il movimento di protesta e coinvolgere i settori produttivi di San Pietroburgo. Lev Davidovic Bronstein, detto Trockij, era l’esponente di spicco. Il numero di rappresentanti era ripartito in egual numero fra menscevichi, bolscevichi e socialisti. </w:t>
      </w:r>
    </w:p>
    <w:p w:rsidR="00026E9A" w:rsidRDefault="00026E9A" w:rsidP="000B2651">
      <w:pPr>
        <w:jc w:val="both"/>
        <w:rPr>
          <w:sz w:val="28"/>
        </w:rPr>
      </w:pPr>
      <w:r>
        <w:rPr>
          <w:sz w:val="28"/>
        </w:rPr>
        <w:lastRenderedPageBreak/>
        <w:t>Gli apparati dello Stato non riuscivano a riprendere il controllo. Lo Zar accettò il consiglio di Witte di concedere la costituzione. Il 17 Ottobre Nicola II firmò il Manifesto e nominò Witte presidente del Consiglio dei ministri con l’incarico del governo. Fino a quel momento ogni ministro rendeva conto dei propri atti allo zar e non era tenuto coordinarsi con gli altri membri del governo. Rimasero ambiguità di fondo. Il ministro degli interni, Petr Durnovo, agiva in autonomia, sostenuto da Nicola II.</w:t>
      </w:r>
    </w:p>
    <w:p w:rsidR="00026E9A" w:rsidRDefault="00077FE4" w:rsidP="000B2651">
      <w:pPr>
        <w:jc w:val="both"/>
        <w:rPr>
          <w:sz w:val="28"/>
        </w:rPr>
      </w:pPr>
      <w:r>
        <w:rPr>
          <w:sz w:val="28"/>
        </w:rPr>
        <w:t>Incominciarono subito critiche. I moderati la consideravano una vittoria, ma tutti gli altri consideravano il Manifesto, un documento generico, che tradiva la volontà riformatrice ed era stato emesso solo sotto emergenza.</w:t>
      </w:r>
    </w:p>
    <w:p w:rsidR="00077FE4" w:rsidRDefault="00077FE4" w:rsidP="000B2651">
      <w:pPr>
        <w:jc w:val="both"/>
        <w:rPr>
          <w:sz w:val="28"/>
        </w:rPr>
      </w:pPr>
      <w:r>
        <w:rPr>
          <w:sz w:val="28"/>
        </w:rPr>
        <w:t>Rispetto alla riforma Bulygin:</w:t>
      </w:r>
    </w:p>
    <w:p w:rsidR="00077FE4" w:rsidRDefault="00077FE4" w:rsidP="000B2651">
      <w:pPr>
        <w:pStyle w:val="Paragrafoelenco"/>
        <w:numPr>
          <w:ilvl w:val="0"/>
          <w:numId w:val="24"/>
        </w:numPr>
        <w:jc w:val="both"/>
        <w:rPr>
          <w:sz w:val="28"/>
        </w:rPr>
      </w:pPr>
      <w:r>
        <w:rPr>
          <w:sz w:val="28"/>
        </w:rPr>
        <w:t>Si ampliava il suffragio</w:t>
      </w:r>
    </w:p>
    <w:p w:rsidR="00077FE4" w:rsidRDefault="00077FE4" w:rsidP="000B2651">
      <w:pPr>
        <w:pStyle w:val="Paragrafoelenco"/>
        <w:numPr>
          <w:ilvl w:val="0"/>
          <w:numId w:val="24"/>
        </w:numPr>
        <w:jc w:val="both"/>
        <w:rPr>
          <w:sz w:val="28"/>
        </w:rPr>
      </w:pPr>
      <w:r>
        <w:rPr>
          <w:sz w:val="28"/>
        </w:rPr>
        <w:t>Si attribuivano alla Duma poteri legislativi</w:t>
      </w:r>
    </w:p>
    <w:p w:rsidR="00077FE4" w:rsidRDefault="00077FE4" w:rsidP="000B2651">
      <w:pPr>
        <w:jc w:val="both"/>
        <w:rPr>
          <w:sz w:val="28"/>
        </w:rPr>
      </w:pPr>
      <w:r>
        <w:rPr>
          <w:sz w:val="28"/>
        </w:rPr>
        <w:t>Ma Nicola II non considerava le concessioni come una “costituzione” e difendeva l’intangibilità del principio autocratico. Le conseguenze?</w:t>
      </w:r>
    </w:p>
    <w:tbl>
      <w:tblPr>
        <w:tblStyle w:val="Grigliatabella"/>
        <w:tblW w:w="0" w:type="auto"/>
        <w:tblLook w:val="04A0"/>
      </w:tblPr>
      <w:tblGrid>
        <w:gridCol w:w="2402"/>
        <w:gridCol w:w="7452"/>
      </w:tblGrid>
      <w:tr w:rsidR="00077FE4" w:rsidTr="00077FE4">
        <w:tc>
          <w:tcPr>
            <w:tcW w:w="0" w:type="auto"/>
          </w:tcPr>
          <w:p w:rsidR="00077FE4" w:rsidRDefault="00077FE4" w:rsidP="000B2651">
            <w:pPr>
              <w:jc w:val="both"/>
              <w:rPr>
                <w:sz w:val="28"/>
              </w:rPr>
            </w:pPr>
            <w:r>
              <w:rPr>
                <w:sz w:val="28"/>
              </w:rPr>
              <w:t>Apertura a una stagione di formazione di partiti politici</w:t>
            </w:r>
          </w:p>
        </w:tc>
        <w:tc>
          <w:tcPr>
            <w:tcW w:w="0" w:type="auto"/>
          </w:tcPr>
          <w:p w:rsidR="00077FE4" w:rsidRDefault="00077FE4" w:rsidP="000B2651">
            <w:pPr>
              <w:jc w:val="both"/>
              <w:rPr>
                <w:sz w:val="28"/>
              </w:rPr>
            </w:pPr>
            <w:r>
              <w:rPr>
                <w:sz w:val="28"/>
              </w:rPr>
              <w:t>Spaccatura nel gruppo costituzionalista:</w:t>
            </w:r>
          </w:p>
          <w:p w:rsidR="00077FE4" w:rsidRDefault="00077FE4" w:rsidP="000B2651">
            <w:pPr>
              <w:pStyle w:val="Paragrafoelenco"/>
              <w:numPr>
                <w:ilvl w:val="0"/>
                <w:numId w:val="25"/>
              </w:numPr>
              <w:jc w:val="both"/>
              <w:rPr>
                <w:sz w:val="28"/>
              </w:rPr>
            </w:pPr>
            <w:r w:rsidRPr="00077FE4">
              <w:rPr>
                <w:sz w:val="28"/>
              </w:rPr>
              <w:t xml:space="preserve">chi accettava i provvedimenti dello zar </w:t>
            </w:r>
            <w:r>
              <w:rPr>
                <w:sz w:val="28"/>
              </w:rPr>
              <w:t>(Ottombristi, Unione del 17 ottobre 1905)</w:t>
            </w:r>
          </w:p>
          <w:p w:rsidR="00077FE4" w:rsidRDefault="00077FE4" w:rsidP="000B2651">
            <w:pPr>
              <w:pStyle w:val="Paragrafoelenco"/>
              <w:numPr>
                <w:ilvl w:val="0"/>
                <w:numId w:val="25"/>
              </w:numPr>
              <w:jc w:val="both"/>
              <w:rPr>
                <w:sz w:val="28"/>
              </w:rPr>
            </w:pPr>
            <w:r>
              <w:rPr>
                <w:sz w:val="28"/>
              </w:rPr>
              <w:t>chi voleva proseguire la mobilitazione e l’istaurazione parlamentare (Cadetti, KDP, Partito costituzionalista-democratico, formatosi il 17 ottobre 1905)</w:t>
            </w:r>
          </w:p>
          <w:p w:rsidR="00077FE4" w:rsidRPr="00077FE4" w:rsidRDefault="00077FE4" w:rsidP="000B2651">
            <w:pPr>
              <w:jc w:val="both"/>
              <w:rPr>
                <w:sz w:val="28"/>
              </w:rPr>
            </w:pPr>
            <w:r>
              <w:rPr>
                <w:sz w:val="28"/>
              </w:rPr>
              <w:t>Il partito cadetto raccoglieva l’eredità di Lega di liberazione. Divenne il principale gruppo politico dello schieramento liberale democratico e fu guidato da Miljukov, che sposò la tattica di “nessun nemico a sinstra” in modo da avere unità nel fronte anti autocratico</w:t>
            </w:r>
          </w:p>
        </w:tc>
      </w:tr>
    </w:tbl>
    <w:p w:rsidR="00077FE4" w:rsidRDefault="00077FE4" w:rsidP="000B2651">
      <w:pPr>
        <w:jc w:val="both"/>
        <w:rPr>
          <w:sz w:val="28"/>
        </w:rPr>
      </w:pPr>
    </w:p>
    <w:p w:rsidR="00077FE4" w:rsidRDefault="00077FE4" w:rsidP="000B2651">
      <w:pPr>
        <w:jc w:val="both"/>
        <w:rPr>
          <w:sz w:val="28"/>
        </w:rPr>
      </w:pPr>
      <w:r>
        <w:rPr>
          <w:sz w:val="28"/>
        </w:rPr>
        <w:t>Si profilava una polarizzazione politica. Due nuovi scioperi generali a novembre non ottennero risultati, mentre, Witte cercò di cooptare al governo gli esponenti costituzionalisti. Ma la trattativa si stoppò. Witte chiedeva una netta distanza dalla sinistra rivoluzionaria</w:t>
      </w:r>
      <w:r w:rsidR="007C1B7E">
        <w:rPr>
          <w:sz w:val="28"/>
        </w:rPr>
        <w:t xml:space="preserve">, mentre, i costituzionalisti chiedevano la fine dell’ondata di </w:t>
      </w:r>
      <w:r w:rsidR="007C1B7E">
        <w:rPr>
          <w:i/>
          <w:sz w:val="28"/>
        </w:rPr>
        <w:lastRenderedPageBreak/>
        <w:t>pogromy</w:t>
      </w:r>
      <w:r w:rsidR="007C1B7E">
        <w:rPr>
          <w:rStyle w:val="Rimandonotaapidipagina"/>
          <w:i/>
          <w:sz w:val="28"/>
        </w:rPr>
        <w:footnoteReference w:id="29"/>
      </w:r>
      <w:r w:rsidR="007C1B7E">
        <w:rPr>
          <w:i/>
          <w:sz w:val="28"/>
        </w:rPr>
        <w:t xml:space="preserve"> </w:t>
      </w:r>
      <w:r w:rsidR="007C1B7E">
        <w:rPr>
          <w:sz w:val="28"/>
        </w:rPr>
        <w:t xml:space="preserve">scatenati dagli estremisti di destra, le Centurie nere, e dal Ministro dell’interno Durnovo. </w:t>
      </w:r>
    </w:p>
    <w:p w:rsidR="007C1B7E" w:rsidRDefault="007C1B7E" w:rsidP="000B2651">
      <w:pPr>
        <w:jc w:val="both"/>
      </w:pPr>
      <w:r>
        <w:rPr>
          <w:noProof/>
        </w:rPr>
        <w:drawing>
          <wp:inline distT="0" distB="0" distL="0" distR="0">
            <wp:extent cx="4083290" cy="2296555"/>
            <wp:effectExtent l="19050" t="0" r="0" b="0"/>
            <wp:docPr id="295" name="Immagine 295" descr="https://upload.wikimedia.org/wikipedia/commons/0/0b/Chernosotenzy_v_odess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ttps://upload.wikimedia.org/wikipedia/commons/0/0b/Chernosotenzy_v_odessa.jpg"/>
                    <pic:cNvPicPr>
                      <a:picLocks noChangeAspect="1" noChangeArrowheads="1"/>
                    </pic:cNvPicPr>
                  </pic:nvPicPr>
                  <pic:blipFill>
                    <a:blip r:embed="rId97"/>
                    <a:srcRect/>
                    <a:stretch>
                      <a:fillRect/>
                    </a:stretch>
                  </pic:blipFill>
                  <pic:spPr bwMode="auto">
                    <a:xfrm>
                      <a:off x="0" y="0"/>
                      <a:ext cx="4085449" cy="2297769"/>
                    </a:xfrm>
                    <a:prstGeom prst="rect">
                      <a:avLst/>
                    </a:prstGeom>
                    <a:noFill/>
                    <a:ln w="9525">
                      <a:noFill/>
                      <a:miter lim="800000"/>
                      <a:headEnd/>
                      <a:tailEnd/>
                    </a:ln>
                  </pic:spPr>
                </pic:pic>
              </a:graphicData>
            </a:graphic>
          </wp:inline>
        </w:drawing>
      </w:r>
      <w:r w:rsidRPr="007C1B7E">
        <w:t xml:space="preserve"> </w:t>
      </w:r>
      <w:r>
        <w:rPr>
          <w:rStyle w:val="Rimandonotaapidipagina"/>
        </w:rPr>
        <w:footnoteReference w:id="30"/>
      </w:r>
      <w:r>
        <w:rPr>
          <w:noProof/>
        </w:rPr>
        <w:drawing>
          <wp:inline distT="0" distB="0" distL="0" distR="0">
            <wp:extent cx="1554830" cy="2296973"/>
            <wp:effectExtent l="19050" t="0" r="7270" b="0"/>
            <wp:docPr id="298" name="Immagine 298" descr="Durnovo Petr (1842-19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Durnovo Petr (1842-1915).jpg"/>
                    <pic:cNvPicPr>
                      <a:picLocks noChangeAspect="1" noChangeArrowheads="1"/>
                    </pic:cNvPicPr>
                  </pic:nvPicPr>
                  <pic:blipFill>
                    <a:blip r:embed="rId98"/>
                    <a:srcRect/>
                    <a:stretch>
                      <a:fillRect/>
                    </a:stretch>
                  </pic:blipFill>
                  <pic:spPr bwMode="auto">
                    <a:xfrm>
                      <a:off x="0" y="0"/>
                      <a:ext cx="1554770" cy="2296884"/>
                    </a:xfrm>
                    <a:prstGeom prst="rect">
                      <a:avLst/>
                    </a:prstGeom>
                    <a:noFill/>
                    <a:ln w="9525">
                      <a:noFill/>
                      <a:miter lim="800000"/>
                      <a:headEnd/>
                      <a:tailEnd/>
                    </a:ln>
                  </pic:spPr>
                </pic:pic>
              </a:graphicData>
            </a:graphic>
          </wp:inline>
        </w:drawing>
      </w:r>
    </w:p>
    <w:p w:rsidR="007C1B7E" w:rsidRPr="007C1B7E" w:rsidRDefault="007C1B7E" w:rsidP="000B2651">
      <w:pPr>
        <w:jc w:val="both"/>
        <w:rPr>
          <w:sz w:val="28"/>
        </w:rPr>
      </w:pPr>
      <w:r>
        <w:rPr>
          <w:sz w:val="28"/>
        </w:rPr>
        <w:t>La scena politica russa era davvero piena di risorse. Ora si organizzarono partiti di estreme destra come le Centurie Nere e la Lega del popolo russo. Professavano un violento antisemtismo e sciovinismo fanatico.</w:t>
      </w:r>
    </w:p>
    <w:p w:rsidR="00026E9A" w:rsidRDefault="007C1B7E" w:rsidP="000B2651">
      <w:pPr>
        <w:jc w:val="both"/>
        <w:rPr>
          <w:sz w:val="28"/>
        </w:rPr>
      </w:pPr>
      <w:r>
        <w:rPr>
          <w:sz w:val="28"/>
        </w:rPr>
        <w:t>Durante le “giornate di libertà” le divergenze fra menscevichi e bolscevichi si appianarono e prevalse la tattica dell’ “eg</w:t>
      </w:r>
      <w:r w:rsidR="00732B50">
        <w:rPr>
          <w:sz w:val="28"/>
        </w:rPr>
        <w:t>e</w:t>
      </w:r>
      <w:r>
        <w:rPr>
          <w:sz w:val="28"/>
        </w:rPr>
        <w:t>monia del proletariato nella rivoluzione democratica”.</w:t>
      </w:r>
      <w:r w:rsidR="00732B50">
        <w:rPr>
          <w:sz w:val="28"/>
        </w:rPr>
        <w:t xml:space="preserve"> I due gruppi collaborarono e formarono un’insurrezione armata di Mosca. Il Soviet a Mosca si era formato già il 21 novembre. 10 Dicembre ci furono combattimenti a Mosca. Ci furono 1000 morti. Ma l’esercito incominciò a utilizzare l’artiglieria pesante e il 18 Dicembre il Soviet dichiarò la fine dell’insurrezione e la repressione fu brutale.</w:t>
      </w:r>
    </w:p>
    <w:p w:rsidR="00732B50" w:rsidRDefault="00732B50" w:rsidP="000B2651">
      <w:pPr>
        <w:jc w:val="both"/>
        <w:rPr>
          <w:sz w:val="28"/>
        </w:rPr>
      </w:pPr>
      <w:r>
        <w:rPr>
          <w:sz w:val="28"/>
        </w:rPr>
        <w:t>Si chiudeva la fase più critica della rivoluzione. L’esercito ritornato dall’Estremo Oriente fu decisivo. L’autocrazia aveva superato il punto più acuto della crisi.</w:t>
      </w:r>
      <w:r w:rsidR="009B537F">
        <w:rPr>
          <w:sz w:val="28"/>
        </w:rPr>
        <w:t xml:space="preserve"> Si apriva ora la fase delle leggi emergenziali. Gli esponenti del Soviet di San Pietroburgo furono arrestati.</w:t>
      </w:r>
    </w:p>
    <w:p w:rsidR="009B537F" w:rsidRDefault="009B537F" w:rsidP="000B2651">
      <w:pPr>
        <w:jc w:val="both"/>
        <w:rPr>
          <w:sz w:val="28"/>
        </w:rPr>
      </w:pPr>
      <w:r>
        <w:rPr>
          <w:sz w:val="28"/>
        </w:rPr>
        <w:lastRenderedPageBreak/>
        <w:t>I Socialdemocratici (SD) e i Socialrivoluzionari (SR) furono colpiti a arresti. Menscevchi e bolscevichi organizzarono un congresso congiunto del POSDR nell’aprile 1906. Gli SR diedero vita al proprio congresso costituente fra la fine di dicembre e l’inizio di gennaio.</w:t>
      </w:r>
    </w:p>
    <w:p w:rsidR="009B537F" w:rsidRDefault="009B537F" w:rsidP="000B2651">
      <w:pPr>
        <w:pStyle w:val="Titolo2"/>
        <w:jc w:val="both"/>
        <w:rPr>
          <w:sz w:val="28"/>
        </w:rPr>
      </w:pPr>
      <w:bookmarkStart w:id="17" w:name="_Toc493625442"/>
      <w:r>
        <w:rPr>
          <w:sz w:val="28"/>
        </w:rPr>
        <w:t>Il confronto costituzionale (Gennaio-Luglio 1906)</w:t>
      </w:r>
      <w:bookmarkEnd w:id="17"/>
    </w:p>
    <w:p w:rsidR="00BC259C" w:rsidRDefault="00BC259C" w:rsidP="000B2651">
      <w:pPr>
        <w:jc w:val="both"/>
        <w:rPr>
          <w:sz w:val="28"/>
        </w:rPr>
      </w:pPr>
      <w:r>
        <w:rPr>
          <w:sz w:val="28"/>
        </w:rPr>
        <w:t>Nei primi mesi del 1906 si svolse la 1° campagna elettorale della storia della Russia. La legge elettorale fu promulgata l’11 dicembre 1905 divideva gli elettori in 4 curie:</w:t>
      </w:r>
    </w:p>
    <w:p w:rsidR="00BC259C" w:rsidRDefault="00BC259C" w:rsidP="000B2651">
      <w:pPr>
        <w:pStyle w:val="Paragrafoelenco"/>
        <w:numPr>
          <w:ilvl w:val="0"/>
          <w:numId w:val="26"/>
        </w:numPr>
        <w:jc w:val="both"/>
        <w:rPr>
          <w:sz w:val="28"/>
        </w:rPr>
      </w:pPr>
      <w:r>
        <w:rPr>
          <w:sz w:val="28"/>
        </w:rPr>
        <w:t>Proprietari terrieri</w:t>
      </w:r>
    </w:p>
    <w:p w:rsidR="00BC259C" w:rsidRDefault="00BC259C" w:rsidP="000B2651">
      <w:pPr>
        <w:pStyle w:val="Paragrafoelenco"/>
        <w:numPr>
          <w:ilvl w:val="0"/>
          <w:numId w:val="26"/>
        </w:numPr>
        <w:jc w:val="both"/>
        <w:rPr>
          <w:sz w:val="28"/>
        </w:rPr>
      </w:pPr>
      <w:r>
        <w:rPr>
          <w:sz w:val="28"/>
        </w:rPr>
        <w:t>Contadini comunitari</w:t>
      </w:r>
    </w:p>
    <w:p w:rsidR="00BC259C" w:rsidRDefault="00BC259C" w:rsidP="000B2651">
      <w:pPr>
        <w:pStyle w:val="Paragrafoelenco"/>
        <w:numPr>
          <w:ilvl w:val="0"/>
          <w:numId w:val="26"/>
        </w:numPr>
        <w:jc w:val="both"/>
        <w:rPr>
          <w:sz w:val="28"/>
        </w:rPr>
      </w:pPr>
      <w:r>
        <w:rPr>
          <w:sz w:val="28"/>
        </w:rPr>
        <w:t>Popolazione urbana</w:t>
      </w:r>
    </w:p>
    <w:p w:rsidR="00BC259C" w:rsidRDefault="00BC259C" w:rsidP="000B2651">
      <w:pPr>
        <w:pStyle w:val="Paragrafoelenco"/>
        <w:numPr>
          <w:ilvl w:val="0"/>
          <w:numId w:val="26"/>
        </w:numPr>
        <w:jc w:val="both"/>
        <w:rPr>
          <w:sz w:val="28"/>
        </w:rPr>
      </w:pPr>
      <w:r>
        <w:rPr>
          <w:sz w:val="28"/>
        </w:rPr>
        <w:t>Operai</w:t>
      </w:r>
    </w:p>
    <w:p w:rsidR="00BC259C" w:rsidRDefault="00BC259C" w:rsidP="000B2651">
      <w:pPr>
        <w:jc w:val="both"/>
        <w:rPr>
          <w:sz w:val="28"/>
        </w:rPr>
      </w:pPr>
      <w:r>
        <w:rPr>
          <w:sz w:val="28"/>
        </w:rPr>
        <w:t>Stabiliva elezioni indirette con tre e quattro fasi elettorali per operai e contadini. Era un meccanismo elettorale lontano dal suffragio universale a “4 code”. Ma i reuisiti di censo non erano elevati e quindi permettevano un’ampia partecipazione popolar al voto.</w:t>
      </w:r>
    </w:p>
    <w:p w:rsidR="00BC259C" w:rsidRDefault="00BC259C" w:rsidP="000B2651">
      <w:pPr>
        <w:jc w:val="both"/>
        <w:rPr>
          <w:sz w:val="28"/>
        </w:rPr>
      </w:pPr>
      <w:r>
        <w:rPr>
          <w:sz w:val="28"/>
        </w:rPr>
        <w:t>Il Manifesto del 20 Febbraio, relativo al Consiglio di Stato e alla Duma di Stato, delineo gli ordinamenti rappresentativi. La Duma aveva competenza legislativa insieme al Consiglio di Stato. Il Consiglio di Stato era tipo la Camera alta, composta a metà di alti burocrati di nomina regia e per metà da rappresentanti di vari corpi sociali (</w:t>
      </w:r>
      <w:r>
        <w:rPr>
          <w:i/>
          <w:sz w:val="28"/>
        </w:rPr>
        <w:t>zemstva</w:t>
      </w:r>
      <w:r>
        <w:rPr>
          <w:sz w:val="28"/>
        </w:rPr>
        <w:t>, nobili, clero, università).</w:t>
      </w:r>
    </w:p>
    <w:p w:rsidR="00BC259C" w:rsidRDefault="00BC259C" w:rsidP="000B2651">
      <w:pPr>
        <w:jc w:val="both"/>
        <w:rPr>
          <w:sz w:val="28"/>
        </w:rPr>
      </w:pPr>
      <w:r>
        <w:rPr>
          <w:sz w:val="28"/>
        </w:rPr>
        <w:t>Le Leggi fondamentali e la nuova Costituzione dell’Impero russo furono promulgate il 23  aprile. Il potere dello Zar non era più “illimitato” ma “autocratico”. I ministri erano sempre responsabili nei confronti del sovrano. Importante era l’articolo 87, che stabiliva che quando la Duma non era in sessione in caso di emergenza il Coniglio dei ministri legiferava secondo l’approvazione  di Nicola II. I costituzionalisti democratici furono insoddisfatti e Weber definì la Costituzione russa come “pseudo-costituzionalismo”.</w:t>
      </w:r>
    </w:p>
    <w:p w:rsidR="00BC259C" w:rsidRDefault="00BC259C" w:rsidP="000B2651">
      <w:pPr>
        <w:jc w:val="both"/>
        <w:rPr>
          <w:sz w:val="28"/>
        </w:rPr>
      </w:pPr>
    </w:p>
    <w:p w:rsidR="00BC259C" w:rsidRDefault="00BC259C" w:rsidP="000B2651">
      <w:pPr>
        <w:jc w:val="both"/>
        <w:rPr>
          <w:sz w:val="28"/>
        </w:rPr>
      </w:pPr>
    </w:p>
    <w:p w:rsidR="00BC259C" w:rsidRDefault="00BC259C" w:rsidP="000B2651">
      <w:pPr>
        <w:jc w:val="both"/>
        <w:rPr>
          <w:sz w:val="28"/>
        </w:rPr>
      </w:pPr>
      <w:r>
        <w:rPr>
          <w:sz w:val="28"/>
        </w:rPr>
        <w:t>Si crearono due schieramenti:</w:t>
      </w:r>
    </w:p>
    <w:tbl>
      <w:tblPr>
        <w:tblStyle w:val="Grigliatabella"/>
        <w:tblW w:w="0" w:type="auto"/>
        <w:tblLook w:val="04A0"/>
      </w:tblPr>
      <w:tblGrid>
        <w:gridCol w:w="4889"/>
        <w:gridCol w:w="4889"/>
      </w:tblGrid>
      <w:tr w:rsidR="00BC259C" w:rsidTr="00BC259C">
        <w:tc>
          <w:tcPr>
            <w:tcW w:w="4889" w:type="dxa"/>
          </w:tcPr>
          <w:p w:rsidR="00BC259C" w:rsidRDefault="00BC259C" w:rsidP="000B2651">
            <w:pPr>
              <w:jc w:val="both"/>
              <w:rPr>
                <w:sz w:val="28"/>
              </w:rPr>
            </w:pPr>
            <w:r>
              <w:rPr>
                <w:sz w:val="28"/>
              </w:rPr>
              <w:lastRenderedPageBreak/>
              <w:t>Blocco monarchico-costituzionale</w:t>
            </w:r>
          </w:p>
        </w:tc>
        <w:tc>
          <w:tcPr>
            <w:tcW w:w="4889" w:type="dxa"/>
          </w:tcPr>
          <w:p w:rsidR="00BC259C" w:rsidRDefault="00BC259C" w:rsidP="000B2651">
            <w:pPr>
              <w:jc w:val="both"/>
              <w:rPr>
                <w:sz w:val="28"/>
              </w:rPr>
            </w:pPr>
            <w:r>
              <w:rPr>
                <w:sz w:val="28"/>
              </w:rPr>
              <w:t>Blocco di centro-sinistra</w:t>
            </w:r>
          </w:p>
        </w:tc>
      </w:tr>
      <w:tr w:rsidR="00BC259C" w:rsidTr="00BC259C">
        <w:tc>
          <w:tcPr>
            <w:tcW w:w="4889" w:type="dxa"/>
          </w:tcPr>
          <w:p w:rsidR="00BC259C" w:rsidRDefault="00BC259C" w:rsidP="000B2651">
            <w:pPr>
              <w:jc w:val="both"/>
              <w:rPr>
                <w:sz w:val="28"/>
              </w:rPr>
            </w:pPr>
            <w:r>
              <w:rPr>
                <w:sz w:val="28"/>
              </w:rPr>
              <w:t>Ottobristi</w:t>
            </w:r>
          </w:p>
          <w:p w:rsidR="00BC259C" w:rsidRDefault="00BC259C" w:rsidP="000B2651">
            <w:pPr>
              <w:jc w:val="both"/>
              <w:rPr>
                <w:sz w:val="28"/>
              </w:rPr>
            </w:pPr>
            <w:r>
              <w:rPr>
                <w:sz w:val="28"/>
              </w:rPr>
              <w:t>Partiti di centro e industriali</w:t>
            </w:r>
          </w:p>
          <w:p w:rsidR="00BC259C" w:rsidRDefault="00BC259C" w:rsidP="000B2651">
            <w:pPr>
              <w:jc w:val="both"/>
              <w:rPr>
                <w:sz w:val="28"/>
              </w:rPr>
            </w:pPr>
            <w:r>
              <w:rPr>
                <w:sz w:val="28"/>
              </w:rPr>
              <w:t>Partito dell’ordine legale</w:t>
            </w:r>
          </w:p>
        </w:tc>
        <w:tc>
          <w:tcPr>
            <w:tcW w:w="4889" w:type="dxa"/>
          </w:tcPr>
          <w:p w:rsidR="005647A0" w:rsidRDefault="00BC259C" w:rsidP="000B2651">
            <w:pPr>
              <w:jc w:val="both"/>
              <w:rPr>
                <w:sz w:val="28"/>
              </w:rPr>
            </w:pPr>
            <w:r>
              <w:rPr>
                <w:sz w:val="28"/>
              </w:rPr>
              <w:t xml:space="preserve">Cadetti </w:t>
            </w:r>
          </w:p>
          <w:p w:rsidR="005647A0" w:rsidRDefault="00BC259C" w:rsidP="000B2651">
            <w:pPr>
              <w:jc w:val="both"/>
              <w:rPr>
                <w:sz w:val="28"/>
              </w:rPr>
            </w:pPr>
            <w:r>
              <w:rPr>
                <w:sz w:val="28"/>
              </w:rPr>
              <w:t>(egemonizzavano l’opposizione</w:t>
            </w:r>
            <w:r w:rsidR="005647A0">
              <w:rPr>
                <w:sz w:val="28"/>
              </w:rPr>
              <w:t>, che avevano accordi con polacchi ed ebrei</w:t>
            </w:r>
            <w:r>
              <w:rPr>
                <w:sz w:val="28"/>
              </w:rPr>
              <w:t>)</w:t>
            </w:r>
          </w:p>
          <w:p w:rsidR="00BC259C" w:rsidRDefault="00BC259C" w:rsidP="000B2651">
            <w:pPr>
              <w:jc w:val="both"/>
              <w:rPr>
                <w:sz w:val="28"/>
              </w:rPr>
            </w:pPr>
          </w:p>
        </w:tc>
      </w:tr>
    </w:tbl>
    <w:p w:rsidR="00BC259C" w:rsidRDefault="005647A0" w:rsidP="000B2651">
      <w:pPr>
        <w:jc w:val="both"/>
        <w:rPr>
          <w:sz w:val="28"/>
        </w:rPr>
      </w:pPr>
      <w:r>
        <w:rPr>
          <w:sz w:val="28"/>
        </w:rPr>
        <w:t>Il POSDR (Partito operaio socialdemocratico russo) e il PSR (Partito socialrivoluzionario) boicottarono le elezioni.  I candidati scomodi riuscirono comunque ad emergere.</w:t>
      </w:r>
    </w:p>
    <w:p w:rsidR="00FC4615" w:rsidRDefault="005647A0" w:rsidP="000B2651">
      <w:pPr>
        <w:jc w:val="both"/>
        <w:rPr>
          <w:sz w:val="28"/>
        </w:rPr>
      </w:pPr>
      <w:r>
        <w:rPr>
          <w:sz w:val="28"/>
        </w:rPr>
        <w:t xml:space="preserve">Il 27 Aprile 1906 si aprirono i lavori della 1° Duma, presieduta dal cadetto Sergej Muromcev. </w:t>
      </w:r>
    </w:p>
    <w:p w:rsidR="00FC4615" w:rsidRDefault="005647A0" w:rsidP="000B2651">
      <w:pPr>
        <w:pStyle w:val="Paragrafoelenco"/>
        <w:numPr>
          <w:ilvl w:val="0"/>
          <w:numId w:val="27"/>
        </w:numPr>
        <w:jc w:val="both"/>
        <w:rPr>
          <w:sz w:val="28"/>
        </w:rPr>
      </w:pPr>
      <w:r w:rsidRPr="00FC4615">
        <w:rPr>
          <w:sz w:val="28"/>
        </w:rPr>
        <w:t xml:space="preserve">I cadetti ottennero il 38% dei seggi; </w:t>
      </w:r>
    </w:p>
    <w:p w:rsidR="00FC4615" w:rsidRDefault="005647A0" w:rsidP="000B2651">
      <w:pPr>
        <w:pStyle w:val="Paragrafoelenco"/>
        <w:numPr>
          <w:ilvl w:val="0"/>
          <w:numId w:val="27"/>
        </w:numPr>
        <w:jc w:val="both"/>
        <w:rPr>
          <w:sz w:val="28"/>
        </w:rPr>
      </w:pPr>
      <w:r w:rsidRPr="00FC4615">
        <w:rPr>
          <w:sz w:val="28"/>
        </w:rPr>
        <w:t xml:space="preserve">il 2° gruppo era quello dei </w:t>
      </w:r>
      <w:r w:rsidRPr="00FC4615">
        <w:rPr>
          <w:i/>
          <w:sz w:val="28"/>
        </w:rPr>
        <w:t>trudovik</w:t>
      </w:r>
      <w:r w:rsidR="00FC4615" w:rsidRPr="00FC4615">
        <w:rPr>
          <w:i/>
          <w:sz w:val="28"/>
        </w:rPr>
        <w:t>i</w:t>
      </w:r>
      <w:r w:rsidR="00FC4615">
        <w:rPr>
          <w:rStyle w:val="Rimandonotaapidipagina"/>
          <w:i/>
          <w:sz w:val="28"/>
        </w:rPr>
        <w:footnoteReference w:id="31"/>
      </w:r>
      <w:r w:rsidRPr="00FC4615">
        <w:rPr>
          <w:sz w:val="28"/>
        </w:rPr>
        <w:t>organizzato</w:t>
      </w:r>
      <w:r w:rsidR="00FC4615">
        <w:rPr>
          <w:sz w:val="28"/>
        </w:rPr>
        <w:t xml:space="preserve"> dalla Lega contadina;</w:t>
      </w:r>
    </w:p>
    <w:p w:rsidR="00FC4615" w:rsidRDefault="00FC4615" w:rsidP="000B2651">
      <w:pPr>
        <w:pStyle w:val="Paragrafoelenco"/>
        <w:numPr>
          <w:ilvl w:val="0"/>
          <w:numId w:val="27"/>
        </w:numPr>
        <w:jc w:val="both"/>
        <w:rPr>
          <w:sz w:val="28"/>
        </w:rPr>
      </w:pPr>
      <w:r w:rsidRPr="00FC4615">
        <w:rPr>
          <w:sz w:val="28"/>
        </w:rPr>
        <w:t xml:space="preserve"> Vi erano anche i rappresentati delle nazionalità confluenti nel gruppo autonomista: la parte più cospicua era il gruppo polacco con 32 seggi</w:t>
      </w:r>
      <w:r>
        <w:rPr>
          <w:sz w:val="28"/>
        </w:rPr>
        <w:t>;</w:t>
      </w:r>
    </w:p>
    <w:p w:rsidR="005647A0" w:rsidRDefault="00FC4615" w:rsidP="000B2651">
      <w:pPr>
        <w:pStyle w:val="Paragrafoelenco"/>
        <w:numPr>
          <w:ilvl w:val="0"/>
          <w:numId w:val="27"/>
        </w:numPr>
        <w:jc w:val="both"/>
        <w:rPr>
          <w:sz w:val="28"/>
        </w:rPr>
      </w:pPr>
      <w:r w:rsidRPr="00FC4615">
        <w:rPr>
          <w:sz w:val="28"/>
        </w:rPr>
        <w:t>I partiti</w:t>
      </w:r>
      <w:r>
        <w:rPr>
          <w:sz w:val="28"/>
        </w:rPr>
        <w:t xml:space="preserve"> di destra ottennero 40 seggi ma furono isolati</w:t>
      </w:r>
    </w:p>
    <w:p w:rsidR="00FC4615" w:rsidRDefault="00FC4615" w:rsidP="000B2651">
      <w:pPr>
        <w:pStyle w:val="Paragrafoelenco"/>
        <w:numPr>
          <w:ilvl w:val="0"/>
          <w:numId w:val="27"/>
        </w:numPr>
        <w:jc w:val="both"/>
        <w:rPr>
          <w:sz w:val="28"/>
        </w:rPr>
      </w:pPr>
      <w:r>
        <w:rPr>
          <w:sz w:val="28"/>
        </w:rPr>
        <w:t>100 deputati non avevano affiliazione</w:t>
      </w:r>
    </w:p>
    <w:p w:rsidR="00FC4615" w:rsidRDefault="00FC4615" w:rsidP="000B2651">
      <w:pPr>
        <w:jc w:val="both"/>
        <w:rPr>
          <w:sz w:val="28"/>
        </w:rPr>
      </w:pPr>
      <w:r>
        <w:rPr>
          <w:sz w:val="28"/>
        </w:rPr>
        <w:t xml:space="preserve">Molti furono le defezioni e gli spostamenti. Durate i 72 giorni della 1° Duma i deputati discussero appassionatamente nei dibattiti parlamentari. Si discusse di: libertà civili, inviolabilità della persona, eguaglianza giuridica dei cittadini, diritto di riunione e di associazione, regolamenti parlamentari, riforma agraria. Volevano riformare le Leggi fondamentali, la libertà individuale, la democrazia politica e la giustizia sociale, ma lo Zar e il governo presieduto da Ivan Goremykin non erano disponibili al confronto. Altra questione erano i </w:t>
      </w:r>
      <w:r>
        <w:rPr>
          <w:i/>
          <w:sz w:val="28"/>
        </w:rPr>
        <w:t>pogromy antiebraici</w:t>
      </w:r>
      <w:r>
        <w:rPr>
          <w:sz w:val="28"/>
        </w:rPr>
        <w:t>.</w:t>
      </w:r>
    </w:p>
    <w:p w:rsidR="00FC4615" w:rsidRDefault="00FC4615" w:rsidP="000B2651">
      <w:pPr>
        <w:jc w:val="both"/>
        <w:rPr>
          <w:sz w:val="28"/>
        </w:rPr>
      </w:pPr>
      <w:r>
        <w:rPr>
          <w:sz w:val="28"/>
        </w:rPr>
        <w:t xml:space="preserve">I Cadetti per numero, organizzazione e competenze avevano la preminenza dei lavori. I cadetti ricercarono l’alleanza con i </w:t>
      </w:r>
      <w:r>
        <w:rPr>
          <w:i/>
          <w:sz w:val="28"/>
        </w:rPr>
        <w:t>trudoviki</w:t>
      </w:r>
      <w:r>
        <w:rPr>
          <w:sz w:val="28"/>
        </w:rPr>
        <w:t>, soprattutto in materia agraria. Era il tema di maggiore scontro con il governo</w:t>
      </w:r>
      <w:r w:rsidR="00F37E63">
        <w:rPr>
          <w:sz w:val="28"/>
        </w:rPr>
        <w:t>. I disordini nelle campagne erano ripresi ma con toni inferiori.</w:t>
      </w:r>
    </w:p>
    <w:p w:rsidR="00F37E63" w:rsidRDefault="00F37E63" w:rsidP="000B2651">
      <w:pPr>
        <w:jc w:val="both"/>
        <w:rPr>
          <w:sz w:val="28"/>
        </w:rPr>
      </w:pPr>
    </w:p>
    <w:p w:rsidR="00F37E63" w:rsidRDefault="00F37E63" w:rsidP="000B2651">
      <w:pPr>
        <w:jc w:val="both"/>
        <w:rPr>
          <w:sz w:val="28"/>
        </w:rPr>
      </w:pPr>
    </w:p>
    <w:p w:rsidR="00F37E63" w:rsidRDefault="00F37E63" w:rsidP="000B2651">
      <w:pPr>
        <w:jc w:val="both"/>
        <w:rPr>
          <w:sz w:val="28"/>
        </w:rPr>
      </w:pPr>
      <w:r>
        <w:rPr>
          <w:sz w:val="28"/>
        </w:rPr>
        <w:t>I progetti di riforma agraria, presentati dalla Duma, furono tre:</w:t>
      </w:r>
    </w:p>
    <w:tbl>
      <w:tblPr>
        <w:tblStyle w:val="Grigliatabella"/>
        <w:tblW w:w="0" w:type="auto"/>
        <w:tblLook w:val="04A0"/>
      </w:tblPr>
      <w:tblGrid>
        <w:gridCol w:w="3259"/>
        <w:gridCol w:w="3259"/>
        <w:gridCol w:w="3260"/>
      </w:tblGrid>
      <w:tr w:rsidR="00F37E63" w:rsidTr="00F37E63">
        <w:tc>
          <w:tcPr>
            <w:tcW w:w="3259" w:type="dxa"/>
          </w:tcPr>
          <w:p w:rsidR="00F37E63" w:rsidRDefault="00F37E63" w:rsidP="000B2651">
            <w:pPr>
              <w:jc w:val="both"/>
              <w:rPr>
                <w:sz w:val="28"/>
              </w:rPr>
            </w:pPr>
            <w:r>
              <w:rPr>
                <w:sz w:val="28"/>
              </w:rPr>
              <w:lastRenderedPageBreak/>
              <w:t>Riforma dei cadetti “dei 42”</w:t>
            </w:r>
          </w:p>
        </w:tc>
        <w:tc>
          <w:tcPr>
            <w:tcW w:w="3259" w:type="dxa"/>
          </w:tcPr>
          <w:p w:rsidR="00F37E63" w:rsidRPr="00F37E63" w:rsidRDefault="00F37E63" w:rsidP="000B2651">
            <w:pPr>
              <w:jc w:val="both"/>
              <w:rPr>
                <w:sz w:val="28"/>
              </w:rPr>
            </w:pPr>
            <w:r>
              <w:rPr>
                <w:sz w:val="28"/>
              </w:rPr>
              <w:t xml:space="preserve">Riforma dei </w:t>
            </w:r>
            <w:r>
              <w:rPr>
                <w:i/>
                <w:sz w:val="28"/>
              </w:rPr>
              <w:t>trudoviko</w:t>
            </w:r>
            <w:r>
              <w:rPr>
                <w:sz w:val="28"/>
              </w:rPr>
              <w:t xml:space="preserve"> “dei 104”</w:t>
            </w:r>
          </w:p>
        </w:tc>
        <w:tc>
          <w:tcPr>
            <w:tcW w:w="3260" w:type="dxa"/>
          </w:tcPr>
          <w:p w:rsidR="00F37E63" w:rsidRDefault="00F37E63" w:rsidP="000B2651">
            <w:pPr>
              <w:jc w:val="both"/>
              <w:rPr>
                <w:sz w:val="28"/>
              </w:rPr>
            </w:pPr>
            <w:r>
              <w:rPr>
                <w:sz w:val="28"/>
              </w:rPr>
              <w:t>Riforma dei socia rivoluzionari “dei 33”</w:t>
            </w:r>
          </w:p>
        </w:tc>
      </w:tr>
      <w:tr w:rsidR="00F37E63" w:rsidTr="00F37E63">
        <w:tc>
          <w:tcPr>
            <w:tcW w:w="3259" w:type="dxa"/>
          </w:tcPr>
          <w:p w:rsidR="00F37E63" w:rsidRDefault="00F37E63" w:rsidP="000B2651">
            <w:pPr>
              <w:jc w:val="both"/>
              <w:rPr>
                <w:sz w:val="28"/>
              </w:rPr>
            </w:pPr>
            <w:r>
              <w:rPr>
                <w:sz w:val="28"/>
              </w:rPr>
              <w:t>Confisca  obbligatoria dei terreni privati, eccedenti il maximum fissato per la conduzione individuale di un’azienda, e assegnazione ai contadini a lungo termine</w:t>
            </w:r>
          </w:p>
        </w:tc>
        <w:tc>
          <w:tcPr>
            <w:tcW w:w="3259" w:type="dxa"/>
          </w:tcPr>
          <w:p w:rsidR="00F37E63" w:rsidRPr="00F37E63" w:rsidRDefault="00F37E63" w:rsidP="000B2651">
            <w:pPr>
              <w:jc w:val="both"/>
              <w:rPr>
                <w:sz w:val="28"/>
              </w:rPr>
            </w:pPr>
            <w:r>
              <w:rPr>
                <w:sz w:val="28"/>
              </w:rPr>
              <w:t xml:space="preserve">Confisca senza eccezioni di tutte le terre dei privati eccedenti a </w:t>
            </w:r>
            <w:r>
              <w:rPr>
                <w:i/>
                <w:sz w:val="28"/>
              </w:rPr>
              <w:t>trudovaja norma</w:t>
            </w:r>
            <w:r>
              <w:rPr>
                <w:sz w:val="28"/>
              </w:rPr>
              <w:t xml:space="preserve"> (norma del lavoro) e assegnazione perpetua ai contadini. Affidamento delle espropriazioni a comitati locali della terra da eleggere a suffragio universale</w:t>
            </w:r>
          </w:p>
        </w:tc>
        <w:tc>
          <w:tcPr>
            <w:tcW w:w="3260" w:type="dxa"/>
          </w:tcPr>
          <w:p w:rsidR="00F37E63" w:rsidRDefault="00F37E63" w:rsidP="000B2651">
            <w:pPr>
              <w:jc w:val="both"/>
              <w:rPr>
                <w:sz w:val="28"/>
              </w:rPr>
            </w:pPr>
            <w:r>
              <w:rPr>
                <w:sz w:val="28"/>
              </w:rPr>
              <w:t>Socializzazione preventiva di tutta la terra, prevedeva l’assegnazione al popolo sulla base della norma del lavoro</w:t>
            </w:r>
          </w:p>
        </w:tc>
      </w:tr>
    </w:tbl>
    <w:p w:rsidR="00F37E63" w:rsidRDefault="00F37E63" w:rsidP="000B2651">
      <w:pPr>
        <w:jc w:val="both"/>
        <w:rPr>
          <w:sz w:val="28"/>
        </w:rPr>
      </w:pPr>
      <w:r>
        <w:rPr>
          <w:sz w:val="28"/>
        </w:rPr>
        <w:t>Mentre i 99 deputati della Commissione agraria lavoravano febbrilmente sulle prime 2 riforme presentate dalla Duma, il Governo presentò tre proposte di legge:</w:t>
      </w:r>
    </w:p>
    <w:tbl>
      <w:tblPr>
        <w:tblStyle w:val="Grigliatabella"/>
        <w:tblW w:w="0" w:type="auto"/>
        <w:tblLook w:val="04A0"/>
      </w:tblPr>
      <w:tblGrid>
        <w:gridCol w:w="3466"/>
        <w:gridCol w:w="3932"/>
        <w:gridCol w:w="2456"/>
      </w:tblGrid>
      <w:tr w:rsidR="00F37E63" w:rsidTr="002C21E1">
        <w:tc>
          <w:tcPr>
            <w:tcW w:w="0" w:type="auto"/>
          </w:tcPr>
          <w:p w:rsidR="00F37E63" w:rsidRDefault="00F37E63" w:rsidP="000B2651">
            <w:pPr>
              <w:jc w:val="both"/>
              <w:rPr>
                <w:sz w:val="28"/>
              </w:rPr>
            </w:pPr>
            <w:r>
              <w:rPr>
                <w:sz w:val="28"/>
              </w:rPr>
              <w:t>Razionalizzazione dell’economia contadina</w:t>
            </w:r>
          </w:p>
        </w:tc>
        <w:tc>
          <w:tcPr>
            <w:tcW w:w="0" w:type="auto"/>
          </w:tcPr>
          <w:p w:rsidR="00F37E63" w:rsidRDefault="00F37E63" w:rsidP="000B2651">
            <w:pPr>
              <w:jc w:val="both"/>
              <w:rPr>
                <w:sz w:val="28"/>
              </w:rPr>
            </w:pPr>
            <w:r>
              <w:rPr>
                <w:sz w:val="28"/>
              </w:rPr>
              <w:t>Superare la fase comunitaria e favorire la proprietà privata</w:t>
            </w:r>
          </w:p>
        </w:tc>
        <w:tc>
          <w:tcPr>
            <w:tcW w:w="0" w:type="auto"/>
          </w:tcPr>
          <w:p w:rsidR="00F37E63" w:rsidRDefault="00F37E63" w:rsidP="000B2651">
            <w:pPr>
              <w:jc w:val="both"/>
              <w:rPr>
                <w:sz w:val="28"/>
              </w:rPr>
            </w:pPr>
            <w:r>
              <w:rPr>
                <w:sz w:val="28"/>
              </w:rPr>
              <w:t>Individualismo economico</w:t>
            </w:r>
          </w:p>
        </w:tc>
      </w:tr>
    </w:tbl>
    <w:p w:rsidR="00F37E63" w:rsidRDefault="00F37E63" w:rsidP="000B2651">
      <w:pPr>
        <w:jc w:val="both"/>
        <w:rPr>
          <w:sz w:val="28"/>
        </w:rPr>
      </w:pPr>
    </w:p>
    <w:p w:rsidR="002C21E1" w:rsidRPr="00FC4615" w:rsidRDefault="002C21E1" w:rsidP="000B2651">
      <w:pPr>
        <w:jc w:val="both"/>
        <w:rPr>
          <w:sz w:val="28"/>
        </w:rPr>
      </w:pPr>
      <w:r>
        <w:rPr>
          <w:sz w:val="28"/>
        </w:rPr>
        <w:t>Le posizioni erano distanti. Nelle campagne si fronteggiavano i social rivoluzionari e la “Nobiltà unita”.</w:t>
      </w:r>
    </w:p>
    <w:p w:rsidR="00FC4615" w:rsidRDefault="00FC4615" w:rsidP="000B2651">
      <w:pPr>
        <w:jc w:val="both"/>
        <w:rPr>
          <w:sz w:val="28"/>
        </w:rPr>
      </w:pPr>
      <w:r>
        <w:rPr>
          <w:noProof/>
        </w:rPr>
        <w:lastRenderedPageBreak/>
        <w:drawing>
          <wp:inline distT="0" distB="0" distL="0" distR="0">
            <wp:extent cx="1634940" cy="2165300"/>
            <wp:effectExtent l="19050" t="0" r="3360" b="0"/>
            <wp:docPr id="301" name="Immagine 301" descr="Ivan Logginovitch Goremykin, c. 1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Ivan Logginovitch Goremykin, c. 1906.jpg"/>
                    <pic:cNvPicPr>
                      <a:picLocks noChangeAspect="1" noChangeArrowheads="1"/>
                    </pic:cNvPicPr>
                  </pic:nvPicPr>
                  <pic:blipFill>
                    <a:blip r:embed="rId99"/>
                    <a:srcRect/>
                    <a:stretch>
                      <a:fillRect/>
                    </a:stretch>
                  </pic:blipFill>
                  <pic:spPr bwMode="auto">
                    <a:xfrm>
                      <a:off x="0" y="0"/>
                      <a:ext cx="1638194" cy="2169610"/>
                    </a:xfrm>
                    <a:prstGeom prst="rect">
                      <a:avLst/>
                    </a:prstGeom>
                    <a:noFill/>
                    <a:ln w="9525">
                      <a:noFill/>
                      <a:miter lim="800000"/>
                      <a:headEnd/>
                      <a:tailEnd/>
                    </a:ln>
                  </pic:spPr>
                </pic:pic>
              </a:graphicData>
            </a:graphic>
          </wp:inline>
        </w:drawing>
      </w:r>
      <w:r w:rsidR="00F37E63">
        <w:rPr>
          <w:rStyle w:val="Rimandonotaapidipagina"/>
          <w:sz w:val="28"/>
        </w:rPr>
        <w:footnoteReference w:id="32"/>
      </w:r>
      <w:r w:rsidR="002C21E1" w:rsidRPr="002C21E1">
        <w:t xml:space="preserve"> </w:t>
      </w:r>
      <w:r w:rsidR="002C21E1">
        <w:rPr>
          <w:noProof/>
        </w:rPr>
        <w:drawing>
          <wp:inline distT="0" distB="0" distL="0" distR="0">
            <wp:extent cx="3916527" cy="2165300"/>
            <wp:effectExtent l="19050" t="0" r="7773" b="0"/>
            <wp:docPr id="307" name="Immagine 307" descr="Risultati immagini per palazzo di taur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Risultati immagini per palazzo di tauride"/>
                    <pic:cNvPicPr>
                      <a:picLocks noChangeAspect="1" noChangeArrowheads="1"/>
                    </pic:cNvPicPr>
                  </pic:nvPicPr>
                  <pic:blipFill>
                    <a:blip r:embed="rId100"/>
                    <a:srcRect/>
                    <a:stretch>
                      <a:fillRect/>
                    </a:stretch>
                  </pic:blipFill>
                  <pic:spPr bwMode="auto">
                    <a:xfrm>
                      <a:off x="0" y="0"/>
                      <a:ext cx="3915310" cy="2164627"/>
                    </a:xfrm>
                    <a:prstGeom prst="rect">
                      <a:avLst/>
                    </a:prstGeom>
                    <a:noFill/>
                    <a:ln w="9525">
                      <a:noFill/>
                      <a:miter lim="800000"/>
                      <a:headEnd/>
                      <a:tailEnd/>
                    </a:ln>
                  </pic:spPr>
                </pic:pic>
              </a:graphicData>
            </a:graphic>
          </wp:inline>
        </w:drawing>
      </w:r>
      <w:r w:rsidR="002C21E1" w:rsidRPr="002C21E1">
        <w:t xml:space="preserve"> </w:t>
      </w:r>
      <w:r w:rsidR="002C21E1">
        <w:rPr>
          <w:rStyle w:val="Rimandonotaapidipagina"/>
        </w:rPr>
        <w:footnoteReference w:id="33"/>
      </w:r>
      <w:r w:rsidR="002C21E1">
        <w:rPr>
          <w:noProof/>
        </w:rPr>
        <w:drawing>
          <wp:inline distT="0" distB="0" distL="0" distR="0">
            <wp:extent cx="6120130" cy="1685990"/>
            <wp:effectExtent l="19050" t="0" r="0" b="0"/>
            <wp:docPr id="310" name="Immagine 310" descr="https://upload.wikimedia.org/wikipedia/commons/d/d4/Tauride_duma_%28cropped%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ttps://upload.wikimedia.org/wikipedia/commons/d/d4/Tauride_duma_%28cropped%29.jpg"/>
                    <pic:cNvPicPr>
                      <a:picLocks noChangeAspect="1" noChangeArrowheads="1"/>
                    </pic:cNvPicPr>
                  </pic:nvPicPr>
                  <pic:blipFill>
                    <a:blip r:embed="rId101"/>
                    <a:srcRect/>
                    <a:stretch>
                      <a:fillRect/>
                    </a:stretch>
                  </pic:blipFill>
                  <pic:spPr bwMode="auto">
                    <a:xfrm>
                      <a:off x="0" y="0"/>
                      <a:ext cx="6120130" cy="1685990"/>
                    </a:xfrm>
                    <a:prstGeom prst="rect">
                      <a:avLst/>
                    </a:prstGeom>
                    <a:noFill/>
                    <a:ln w="9525">
                      <a:noFill/>
                      <a:miter lim="800000"/>
                      <a:headEnd/>
                      <a:tailEnd/>
                    </a:ln>
                  </pic:spPr>
                </pic:pic>
              </a:graphicData>
            </a:graphic>
          </wp:inline>
        </w:drawing>
      </w:r>
    </w:p>
    <w:p w:rsidR="002C21E1" w:rsidRDefault="002C21E1" w:rsidP="000B2651">
      <w:pPr>
        <w:jc w:val="both"/>
        <w:rPr>
          <w:sz w:val="28"/>
        </w:rPr>
      </w:pPr>
      <w:r>
        <w:rPr>
          <w:sz w:val="28"/>
        </w:rPr>
        <w:t>All’inizio di Luglio 1906 la competizione fra Duma e Governo per il consenso sulla riforma agraria, portò ai deputati ad emettere sottoforma di comunicato i propri intenti. La sorte della 1° Duma era ormai segnata.</w:t>
      </w:r>
    </w:p>
    <w:p w:rsidR="002C21E1" w:rsidRDefault="002C21E1" w:rsidP="000B2651">
      <w:pPr>
        <w:jc w:val="both"/>
        <w:rPr>
          <w:sz w:val="28"/>
        </w:rPr>
      </w:pPr>
      <w:r>
        <w:rPr>
          <w:sz w:val="28"/>
        </w:rPr>
        <w:t xml:space="preserve">La mattina dell’8 luglio i deputati trovarono chiuso il palazzo di Tauride. Era circondato dalla polizia. Il 9 luglio, un </w:t>
      </w:r>
      <w:r w:rsidRPr="002C21E1">
        <w:rPr>
          <w:i/>
          <w:sz w:val="28"/>
        </w:rPr>
        <w:t>ukaz</w:t>
      </w:r>
      <w:r>
        <w:rPr>
          <w:i/>
          <w:sz w:val="28"/>
        </w:rPr>
        <w:t xml:space="preserve"> </w:t>
      </w:r>
      <w:r>
        <w:rPr>
          <w:sz w:val="28"/>
        </w:rPr>
        <w:t>imperiale decretava lo scioglimento della Duma e l’instaurazione di un regime emergenziale. Petr Stolypin da Ministro dell’Interno divenne primo ministro.</w:t>
      </w:r>
    </w:p>
    <w:p w:rsidR="00525718" w:rsidRPr="00525718" w:rsidRDefault="00525718" w:rsidP="000B2651">
      <w:pPr>
        <w:jc w:val="both"/>
        <w:rPr>
          <w:sz w:val="28"/>
        </w:rPr>
      </w:pPr>
      <w:r>
        <w:rPr>
          <w:sz w:val="28"/>
        </w:rPr>
        <w:t>Molti esponenti cadetti sottoscrissero l’ “appello di Vyborg”: invitavano la popolazione a protestare astenendosi dal pagare le tasse e la leva militare. i firmatari furono tutti processati e privati dei diritti elettorali.</w:t>
      </w:r>
    </w:p>
    <w:p w:rsidR="002C21E1" w:rsidRDefault="002C21E1" w:rsidP="000B2651">
      <w:pPr>
        <w:jc w:val="both"/>
      </w:pPr>
      <w:r>
        <w:rPr>
          <w:noProof/>
        </w:rPr>
        <w:lastRenderedPageBreak/>
        <w:drawing>
          <wp:inline distT="0" distB="0" distL="0" distR="0">
            <wp:extent cx="1639644" cy="2845612"/>
            <wp:effectExtent l="19050" t="0" r="0" b="0"/>
            <wp:docPr id="313" name="Immagine 313" descr="Risultati immagini per stolyp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Risultati immagini per stolypin"/>
                    <pic:cNvPicPr>
                      <a:picLocks noChangeAspect="1" noChangeArrowheads="1"/>
                    </pic:cNvPicPr>
                  </pic:nvPicPr>
                  <pic:blipFill>
                    <a:blip r:embed="rId102"/>
                    <a:srcRect/>
                    <a:stretch>
                      <a:fillRect/>
                    </a:stretch>
                  </pic:blipFill>
                  <pic:spPr bwMode="auto">
                    <a:xfrm>
                      <a:off x="0" y="0"/>
                      <a:ext cx="1643517" cy="2852334"/>
                    </a:xfrm>
                    <a:prstGeom prst="rect">
                      <a:avLst/>
                    </a:prstGeom>
                    <a:noFill/>
                    <a:ln w="9525">
                      <a:noFill/>
                      <a:miter lim="800000"/>
                      <a:headEnd/>
                      <a:tailEnd/>
                    </a:ln>
                  </pic:spPr>
                </pic:pic>
              </a:graphicData>
            </a:graphic>
          </wp:inline>
        </w:drawing>
      </w:r>
      <w:r w:rsidR="00525718" w:rsidRPr="00525718">
        <w:t xml:space="preserve"> </w:t>
      </w:r>
      <w:r w:rsidR="00606653">
        <w:rPr>
          <w:noProof/>
        </w:rPr>
        <w:drawing>
          <wp:inline distT="0" distB="0" distL="0" distR="0">
            <wp:extent cx="4278934" cy="2845613"/>
            <wp:effectExtent l="19050" t="0" r="7316" b="0"/>
            <wp:docPr id="319" name="Immagine 319" descr="https://upload.wikimedia.org/wikipedia/commons/0/0d/Bundesarchiv_Bild_183-R04510%2C_Russland%2C_Attentat_auf_Stolyp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ttps://upload.wikimedia.org/wikipedia/commons/0/0d/Bundesarchiv_Bild_183-R04510%2C_Russland%2C_Attentat_auf_Stolypin.jpg"/>
                    <pic:cNvPicPr>
                      <a:picLocks noChangeAspect="1" noChangeArrowheads="1"/>
                    </pic:cNvPicPr>
                  </pic:nvPicPr>
                  <pic:blipFill>
                    <a:blip r:embed="rId103"/>
                    <a:srcRect/>
                    <a:stretch>
                      <a:fillRect/>
                    </a:stretch>
                  </pic:blipFill>
                  <pic:spPr bwMode="auto">
                    <a:xfrm>
                      <a:off x="0" y="0"/>
                      <a:ext cx="4287387" cy="2851234"/>
                    </a:xfrm>
                    <a:prstGeom prst="rect">
                      <a:avLst/>
                    </a:prstGeom>
                    <a:noFill/>
                    <a:ln w="9525">
                      <a:noFill/>
                      <a:miter lim="800000"/>
                      <a:headEnd/>
                      <a:tailEnd/>
                    </a:ln>
                  </pic:spPr>
                </pic:pic>
              </a:graphicData>
            </a:graphic>
          </wp:inline>
        </w:drawing>
      </w:r>
    </w:p>
    <w:p w:rsidR="00525718" w:rsidRDefault="00525718" w:rsidP="000B2651">
      <w:pPr>
        <w:pStyle w:val="Titolo2"/>
        <w:jc w:val="both"/>
        <w:rPr>
          <w:sz w:val="28"/>
        </w:rPr>
      </w:pPr>
      <w:bookmarkStart w:id="18" w:name="_Toc493625443"/>
      <w:r>
        <w:rPr>
          <w:sz w:val="28"/>
        </w:rPr>
        <w:t>La fase controrivoluzionaria (Luglio 1906-Giugno 1907)</w:t>
      </w:r>
      <w:bookmarkEnd w:id="18"/>
    </w:p>
    <w:p w:rsidR="007F04EB" w:rsidRDefault="007F04EB" w:rsidP="000B2651">
      <w:pPr>
        <w:jc w:val="both"/>
        <w:rPr>
          <w:sz w:val="28"/>
        </w:rPr>
      </w:pPr>
      <w:r>
        <w:rPr>
          <w:sz w:val="28"/>
        </w:rPr>
        <w:t>Si scatenò una fase di violenza terroristica. Fu assassinato da un estremista di destra Michail Gercensteijn, ex deputato ebreo, relatore della riforma agraria.</w:t>
      </w:r>
    </w:p>
    <w:p w:rsidR="007F04EB" w:rsidRDefault="007F04EB" w:rsidP="000B2651">
      <w:pPr>
        <w:jc w:val="both"/>
        <w:rPr>
          <w:sz w:val="28"/>
        </w:rPr>
      </w:pPr>
      <w:r>
        <w:rPr>
          <w:sz w:val="28"/>
        </w:rPr>
        <w:t>Il 12 agosto un’esplosione a casa di Stolypin colpì 27 persone. Stolypin si salvò miracolosamente.</w:t>
      </w:r>
    </w:p>
    <w:p w:rsidR="00606653" w:rsidRDefault="00606653" w:rsidP="000B2651">
      <w:pPr>
        <w:jc w:val="both"/>
        <w:rPr>
          <w:sz w:val="28"/>
        </w:rPr>
      </w:pPr>
      <w:r>
        <w:rPr>
          <w:sz w:val="28"/>
        </w:rPr>
        <w:t>Fu indetta una Conferenza straordinaria dei vertici dello Stato. Si approvarono corti marziali per i civili sottoposti alle regioni sotto regime emergenziali. Il verdetto era emesso entro 48 ore, senza possibilità di difesa con un avvocato, la sentenza doveva essere applicata immediatamente.</w:t>
      </w:r>
    </w:p>
    <w:p w:rsidR="00606653" w:rsidRDefault="00606653" w:rsidP="000B2651">
      <w:pPr>
        <w:jc w:val="both"/>
        <w:rPr>
          <w:sz w:val="28"/>
        </w:rPr>
      </w:pPr>
      <w:r>
        <w:rPr>
          <w:sz w:val="28"/>
        </w:rPr>
        <w:t>Stolypin si mosse secondo “3 direttrici”:</w:t>
      </w:r>
    </w:p>
    <w:tbl>
      <w:tblPr>
        <w:tblStyle w:val="Grigliatabella"/>
        <w:tblW w:w="0" w:type="auto"/>
        <w:tblLook w:val="04A0"/>
      </w:tblPr>
      <w:tblGrid>
        <w:gridCol w:w="3779"/>
        <w:gridCol w:w="3240"/>
        <w:gridCol w:w="2835"/>
      </w:tblGrid>
      <w:tr w:rsidR="00606653" w:rsidTr="00606653">
        <w:tc>
          <w:tcPr>
            <w:tcW w:w="0" w:type="auto"/>
          </w:tcPr>
          <w:p w:rsidR="00606653" w:rsidRDefault="00606653" w:rsidP="000B2651">
            <w:pPr>
              <w:jc w:val="both"/>
              <w:rPr>
                <w:sz w:val="28"/>
              </w:rPr>
            </w:pPr>
            <w:r>
              <w:rPr>
                <w:sz w:val="28"/>
              </w:rPr>
              <w:t>Pugno di ferro nell’ordine pubblico</w:t>
            </w:r>
          </w:p>
          <w:p w:rsidR="00606653" w:rsidRPr="00606653" w:rsidRDefault="00606653" w:rsidP="000B2651">
            <w:pPr>
              <w:pStyle w:val="Paragrafoelenco"/>
              <w:numPr>
                <w:ilvl w:val="0"/>
                <w:numId w:val="28"/>
              </w:numPr>
              <w:jc w:val="both"/>
              <w:rPr>
                <w:sz w:val="28"/>
              </w:rPr>
            </w:pPr>
            <w:r>
              <w:rPr>
                <w:sz w:val="28"/>
              </w:rPr>
              <w:t>Passati alla storia sono i modi di dire “cravatte di Stolypin” (impiccagioni), oppure, i “vagoni di Stolypin” (treni per i deportati)</w:t>
            </w:r>
          </w:p>
        </w:tc>
        <w:tc>
          <w:tcPr>
            <w:tcW w:w="0" w:type="auto"/>
          </w:tcPr>
          <w:p w:rsidR="00606653" w:rsidRDefault="00606653" w:rsidP="000B2651">
            <w:pPr>
              <w:jc w:val="both"/>
              <w:rPr>
                <w:sz w:val="28"/>
              </w:rPr>
            </w:pPr>
            <w:r>
              <w:rPr>
                <w:sz w:val="28"/>
              </w:rPr>
              <w:t>Riforma ispirata da intenti “modernizzatori” e continuo ricorso all’articolo 87 (Stato emergenziale)</w:t>
            </w:r>
          </w:p>
        </w:tc>
        <w:tc>
          <w:tcPr>
            <w:tcW w:w="0" w:type="auto"/>
          </w:tcPr>
          <w:p w:rsidR="00606653" w:rsidRDefault="00606653" w:rsidP="000B2651">
            <w:pPr>
              <w:jc w:val="both"/>
              <w:rPr>
                <w:sz w:val="28"/>
              </w:rPr>
            </w:pPr>
            <w:r>
              <w:rPr>
                <w:sz w:val="28"/>
              </w:rPr>
              <w:t>Costruzione di un blocco partitico filo-governativo nella competizione elettorale per la 2° Duma</w:t>
            </w:r>
          </w:p>
        </w:tc>
      </w:tr>
    </w:tbl>
    <w:p w:rsidR="00606653" w:rsidRDefault="00606653" w:rsidP="000B2651">
      <w:pPr>
        <w:jc w:val="both"/>
        <w:rPr>
          <w:sz w:val="28"/>
        </w:rPr>
      </w:pPr>
    </w:p>
    <w:p w:rsidR="00A55C8C" w:rsidRDefault="00606653" w:rsidP="000B2651">
      <w:pPr>
        <w:jc w:val="both"/>
        <w:rPr>
          <w:sz w:val="28"/>
        </w:rPr>
      </w:pPr>
      <w:r>
        <w:rPr>
          <w:sz w:val="28"/>
        </w:rPr>
        <w:t>Furono varate a</w:t>
      </w:r>
      <w:r w:rsidR="00A55C8C">
        <w:rPr>
          <w:sz w:val="28"/>
        </w:rPr>
        <w:t>nche riforme di natura agraria:</w:t>
      </w:r>
    </w:p>
    <w:p w:rsidR="00A55C8C" w:rsidRDefault="00606653" w:rsidP="000B2651">
      <w:pPr>
        <w:pStyle w:val="Paragrafoelenco"/>
        <w:numPr>
          <w:ilvl w:val="0"/>
          <w:numId w:val="28"/>
        </w:numPr>
        <w:jc w:val="both"/>
        <w:rPr>
          <w:sz w:val="28"/>
        </w:rPr>
      </w:pPr>
      <w:r w:rsidRPr="00A55C8C">
        <w:rPr>
          <w:sz w:val="28"/>
        </w:rPr>
        <w:lastRenderedPageBreak/>
        <w:t>L’ukaz del 5 ottobre abolì alcune restrizioni alle libertà personali dei contadini comunitari</w:t>
      </w:r>
      <w:r w:rsidR="00A55C8C">
        <w:rPr>
          <w:sz w:val="28"/>
        </w:rPr>
        <w:t>;</w:t>
      </w:r>
    </w:p>
    <w:p w:rsidR="007F04EB" w:rsidRDefault="00A55C8C" w:rsidP="000B2651">
      <w:pPr>
        <w:pStyle w:val="Paragrafoelenco"/>
        <w:numPr>
          <w:ilvl w:val="0"/>
          <w:numId w:val="28"/>
        </w:numPr>
        <w:jc w:val="both"/>
        <w:rPr>
          <w:sz w:val="28"/>
        </w:rPr>
      </w:pPr>
      <w:r w:rsidRPr="00A55C8C">
        <w:rPr>
          <w:sz w:val="28"/>
        </w:rPr>
        <w:t>L’ukaz del 9 novembre agevolava l’uscita dalla comunità per chi riusciva a disporre a pieno del proprio appezzamento</w:t>
      </w:r>
      <w:r>
        <w:rPr>
          <w:sz w:val="28"/>
        </w:rPr>
        <w:t>: significava creazione della proprietà privata (rientravano in questa riforma il 70% dei contadini della Russia europea)</w:t>
      </w:r>
    </w:p>
    <w:p w:rsidR="00A55C8C" w:rsidRDefault="00A55C8C" w:rsidP="000B2651">
      <w:pPr>
        <w:jc w:val="both"/>
        <w:rPr>
          <w:sz w:val="28"/>
        </w:rPr>
      </w:pPr>
      <w:r>
        <w:rPr>
          <w:sz w:val="28"/>
        </w:rPr>
        <w:t>Nuovamente il governo limitò le libertà individuali:</w:t>
      </w:r>
    </w:p>
    <w:p w:rsidR="00A55C8C" w:rsidRDefault="00A55C8C" w:rsidP="000B2651">
      <w:pPr>
        <w:pStyle w:val="Paragrafoelenco"/>
        <w:numPr>
          <w:ilvl w:val="0"/>
          <w:numId w:val="29"/>
        </w:numPr>
        <w:jc w:val="both"/>
        <w:rPr>
          <w:sz w:val="28"/>
        </w:rPr>
      </w:pPr>
      <w:r>
        <w:rPr>
          <w:sz w:val="28"/>
        </w:rPr>
        <w:t>Non era possibile iscriversi ai partiti di opposizione per i dipendenti statali</w:t>
      </w:r>
    </w:p>
    <w:p w:rsidR="00A55C8C" w:rsidRDefault="00A55C8C" w:rsidP="000B2651">
      <w:pPr>
        <w:pStyle w:val="Paragrafoelenco"/>
        <w:numPr>
          <w:ilvl w:val="0"/>
          <w:numId w:val="29"/>
        </w:numPr>
        <w:jc w:val="both"/>
        <w:rPr>
          <w:sz w:val="28"/>
        </w:rPr>
      </w:pPr>
      <w:r>
        <w:rPr>
          <w:sz w:val="28"/>
        </w:rPr>
        <w:t>I partiti sgraditi rimasero nell’illegalità e non potevano registrarsi</w:t>
      </w:r>
    </w:p>
    <w:p w:rsidR="00A55C8C" w:rsidRDefault="00A55C8C" w:rsidP="000B2651">
      <w:pPr>
        <w:pStyle w:val="Paragrafoelenco"/>
        <w:numPr>
          <w:ilvl w:val="0"/>
          <w:numId w:val="29"/>
        </w:numPr>
        <w:jc w:val="both"/>
        <w:rPr>
          <w:sz w:val="28"/>
        </w:rPr>
      </w:pPr>
      <w:r>
        <w:rPr>
          <w:sz w:val="28"/>
        </w:rPr>
        <w:t>I cadetti furono i più penalizzato dopo Vyborg e il riorientamento conservatore della nobiltà</w:t>
      </w:r>
    </w:p>
    <w:p w:rsidR="00A55C8C" w:rsidRDefault="00A55C8C" w:rsidP="000B2651">
      <w:pPr>
        <w:pStyle w:val="Paragrafoelenco"/>
        <w:numPr>
          <w:ilvl w:val="0"/>
          <w:numId w:val="29"/>
        </w:numPr>
        <w:jc w:val="both"/>
        <w:rPr>
          <w:sz w:val="28"/>
        </w:rPr>
      </w:pPr>
      <w:r>
        <w:rPr>
          <w:sz w:val="28"/>
        </w:rPr>
        <w:t>Furono legalizzati gli “ottobristi” e il “Partito della rigenerazione pacifica” (PMO)</w:t>
      </w:r>
    </w:p>
    <w:p w:rsidR="00C93F88" w:rsidRDefault="00A55C8C" w:rsidP="000B2651">
      <w:pPr>
        <w:jc w:val="both"/>
        <w:rPr>
          <w:sz w:val="28"/>
        </w:rPr>
      </w:pPr>
      <w:r>
        <w:rPr>
          <w:sz w:val="28"/>
        </w:rPr>
        <w:t xml:space="preserve">La svolta a destra cambiò la gestione delle assemblee degli </w:t>
      </w:r>
      <w:r>
        <w:rPr>
          <w:i/>
          <w:sz w:val="28"/>
        </w:rPr>
        <w:t>zemstva</w:t>
      </w:r>
      <w:r>
        <w:rPr>
          <w:sz w:val="28"/>
        </w:rPr>
        <w:t>: qui ebbero grande influenza il Consiglio permanente della Nobiltà unita.</w:t>
      </w:r>
    </w:p>
    <w:p w:rsidR="00A55C8C" w:rsidRDefault="00A55C8C" w:rsidP="000B2651">
      <w:pPr>
        <w:jc w:val="both"/>
        <w:rPr>
          <w:sz w:val="28"/>
        </w:rPr>
      </w:pPr>
      <w:r>
        <w:rPr>
          <w:sz w:val="28"/>
        </w:rPr>
        <w:t>Stolypin aveva grande fiducia di una possibile vittoria del blocco politico moderato filo-governativo (ottobristi e partiti monarchici).</w:t>
      </w:r>
    </w:p>
    <w:p w:rsidR="00A55C8C" w:rsidRDefault="00A55C8C" w:rsidP="000B2651">
      <w:pPr>
        <w:jc w:val="both"/>
        <w:rPr>
          <w:sz w:val="28"/>
        </w:rPr>
      </w:pPr>
      <w:r>
        <w:rPr>
          <w:sz w:val="28"/>
        </w:rPr>
        <w:t xml:space="preserve">L’opposizione era divisa: i partiti socialisti avevano rinunciato al </w:t>
      </w:r>
      <w:r w:rsidR="007F7825">
        <w:rPr>
          <w:sz w:val="28"/>
        </w:rPr>
        <w:t>boicottaggio. I risultati delle elezioni furono sorprendenti. Nel gennaio 1907 la maggioranza era socialista con un quantitativo di 250 seggi, otteneva largamente la maggioranza nella 2° Duma. La destra aveva 100 deputati, i cadetti erano dimezzati.</w:t>
      </w:r>
    </w:p>
    <w:p w:rsidR="007F7825" w:rsidRDefault="007F7825" w:rsidP="000B2651">
      <w:pPr>
        <w:jc w:val="both"/>
        <w:rPr>
          <w:sz w:val="28"/>
        </w:rPr>
      </w:pPr>
      <w:r>
        <w:rPr>
          <w:sz w:val="28"/>
        </w:rPr>
        <w:t>La 2° Duma a differenza della 1° Duma fu caratterizzata dalla rissosità e incapacità di svolgere un lavoro costruttivo. Gli insulti erano fra l’estrema sinistra e l’estrema destra. Fin dalla metà di aprile, i vertici dello Stato avevano deciso segretamente di sciogliere l’assemblea e procedere alla revisione elettorale secondo i principi di “Nobiltà unità”. Il pretesto di una presunta rivolta guidata da deputati socialdemocratici</w:t>
      </w:r>
      <w:r w:rsidR="005173B0">
        <w:rPr>
          <w:sz w:val="28"/>
        </w:rPr>
        <w:t xml:space="preserve"> causò lo scioglimento della 2° Duma.</w:t>
      </w:r>
    </w:p>
    <w:p w:rsidR="005173B0" w:rsidRDefault="005173B0" w:rsidP="000B2651">
      <w:pPr>
        <w:jc w:val="both"/>
        <w:rPr>
          <w:sz w:val="28"/>
        </w:rPr>
      </w:pPr>
      <w:r>
        <w:rPr>
          <w:sz w:val="28"/>
        </w:rPr>
        <w:t>Il 3 giugno un Manifesto imperiale rendeva pubblica la nuova legge elettorale. Era un vero colpo di Stato. Fu decurtato il diritto di voto dei contadini comunitari, della popolazione urbana e degli abitanti delle periferie non russe in modo da preservare la superiorità dei proprietari terrieri russi.</w:t>
      </w:r>
    </w:p>
    <w:p w:rsidR="002A4221" w:rsidRDefault="002A4221" w:rsidP="000B2651">
      <w:pPr>
        <w:pStyle w:val="Titolo1"/>
        <w:jc w:val="both"/>
      </w:pPr>
      <w:bookmarkStart w:id="19" w:name="_Toc493625444"/>
      <w:r>
        <w:lastRenderedPageBreak/>
        <w:t xml:space="preserve">4° Capitolo: </w:t>
      </w:r>
      <w:r w:rsidRPr="002A4221">
        <w:t>Gli ultimi anni dello zarismo</w:t>
      </w:r>
      <w:bookmarkEnd w:id="19"/>
    </w:p>
    <w:p w:rsidR="002A4221" w:rsidRDefault="002A4221" w:rsidP="000B2651">
      <w:pPr>
        <w:pStyle w:val="Titolo2"/>
        <w:jc w:val="both"/>
        <w:rPr>
          <w:sz w:val="28"/>
        </w:rPr>
      </w:pPr>
      <w:bookmarkStart w:id="20" w:name="_Toc493625445"/>
      <w:r>
        <w:rPr>
          <w:sz w:val="28"/>
        </w:rPr>
        <w:t>Gli insegnamenti della rivoluzione</w:t>
      </w:r>
      <w:bookmarkEnd w:id="20"/>
    </w:p>
    <w:p w:rsidR="002A4221" w:rsidRDefault="009C0EC2" w:rsidP="000B2651">
      <w:pPr>
        <w:jc w:val="both"/>
        <w:rPr>
          <w:sz w:val="28"/>
        </w:rPr>
      </w:pPr>
      <w:r>
        <w:rPr>
          <w:sz w:val="28"/>
        </w:rPr>
        <w:t>Dopo il colpo di stato del 3 giugno’</w:t>
      </w:r>
      <w:r>
        <w:rPr>
          <w:i/>
          <w:sz w:val="28"/>
        </w:rPr>
        <w:t>intelligencija</w:t>
      </w:r>
      <w:r>
        <w:rPr>
          <w:sz w:val="28"/>
        </w:rPr>
        <w:t xml:space="preserve"> reagì disilludendosi. Molti ebbero un approccio irrazionalista, mistico o religioso. Altri tentavano una carriera ricca e perseguivano la ricchezza e il benessere individuale.</w:t>
      </w:r>
    </w:p>
    <w:p w:rsidR="00325EAB" w:rsidRDefault="00325EAB" w:rsidP="000B2651">
      <w:pPr>
        <w:jc w:val="both"/>
        <w:rPr>
          <w:sz w:val="28"/>
        </w:rPr>
      </w:pPr>
      <w:r>
        <w:rPr>
          <w:sz w:val="28"/>
        </w:rPr>
        <w:t>Altri invece sostenevano il progresso, il gradualismo delle riforme e dell’istruzione n modo da aumentare lo Stato di diritto.</w:t>
      </w:r>
    </w:p>
    <w:p w:rsidR="00325EAB" w:rsidRDefault="00325EAB" w:rsidP="000B2651">
      <w:pPr>
        <w:jc w:val="both"/>
        <w:rPr>
          <w:sz w:val="28"/>
        </w:rPr>
      </w:pPr>
      <w:r>
        <w:rPr>
          <w:sz w:val="28"/>
        </w:rPr>
        <w:t>Il 3 giugno 1907 fu uno choc per i liberali centristi: la violenza rivoluzionaria e controrivoluzionari era stata pesantissima.</w:t>
      </w:r>
    </w:p>
    <w:p w:rsidR="00325EAB" w:rsidRDefault="001A0CE3" w:rsidP="000B2651">
      <w:pPr>
        <w:jc w:val="both"/>
        <w:rPr>
          <w:sz w:val="28"/>
        </w:rPr>
      </w:pPr>
      <w:r>
        <w:rPr>
          <w:sz w:val="28"/>
        </w:rPr>
        <w:t>Altri avevano un orientamento conservatore e spiegavano il fallimento a causa della cultura politica e visione del mondo dell’</w:t>
      </w:r>
      <w:r w:rsidRPr="001A0CE3">
        <w:rPr>
          <w:i/>
          <w:sz w:val="28"/>
        </w:rPr>
        <w:t>intelligencija</w:t>
      </w:r>
      <w:r>
        <w:rPr>
          <w:sz w:val="28"/>
        </w:rPr>
        <w:t>, accusata di perseguire utopie rivoluzionarie e di non avere senso dello Stato.</w:t>
      </w:r>
    </w:p>
    <w:p w:rsidR="001A0CE3" w:rsidRDefault="001A0CE3" w:rsidP="000B2651">
      <w:pPr>
        <w:jc w:val="both"/>
        <w:rPr>
          <w:sz w:val="28"/>
        </w:rPr>
      </w:pPr>
      <w:r>
        <w:rPr>
          <w:sz w:val="28"/>
        </w:rPr>
        <w:t>Prevalava in tutti i partiti un clima di demoralizzazione, di contrazione degli iscritti, di sbandamento organizzativo. Alcune reti locali si disintegrarono</w:t>
      </w:r>
    </w:p>
    <w:tbl>
      <w:tblPr>
        <w:tblStyle w:val="Grigliatabella"/>
        <w:tblW w:w="0" w:type="auto"/>
        <w:tblLook w:val="04A0"/>
      </w:tblPr>
      <w:tblGrid>
        <w:gridCol w:w="9778"/>
      </w:tblGrid>
      <w:tr w:rsidR="001A0CE3" w:rsidTr="001A0CE3">
        <w:tc>
          <w:tcPr>
            <w:tcW w:w="9778" w:type="dxa"/>
          </w:tcPr>
          <w:p w:rsidR="001A0CE3" w:rsidRDefault="001A0CE3" w:rsidP="000B2651">
            <w:pPr>
              <w:jc w:val="both"/>
              <w:rPr>
                <w:sz w:val="28"/>
              </w:rPr>
            </w:pPr>
            <w:r>
              <w:rPr>
                <w:sz w:val="28"/>
              </w:rPr>
              <w:t>KD o Cadetti: assunsero un atteggiamento politico più moderato e preservarono le strutture organizzative. Non vi era concordanza sulle ragioni del fallimento:</w:t>
            </w:r>
          </w:p>
          <w:p w:rsidR="001A0CE3" w:rsidRDefault="001A0CE3" w:rsidP="000B2651">
            <w:pPr>
              <w:pStyle w:val="Paragrafoelenco"/>
              <w:numPr>
                <w:ilvl w:val="0"/>
                <w:numId w:val="30"/>
              </w:numPr>
              <w:jc w:val="both"/>
              <w:rPr>
                <w:sz w:val="28"/>
              </w:rPr>
            </w:pPr>
            <w:r>
              <w:rPr>
                <w:sz w:val="28"/>
              </w:rPr>
              <w:t>Miljukov e la maggioranza pensavano che le scelte compiute erano le uniche possibili e che il malcontento non era stato ancora represso</w:t>
            </w:r>
          </w:p>
          <w:p w:rsidR="001A0CE3" w:rsidRDefault="001A0CE3" w:rsidP="000B2651">
            <w:pPr>
              <w:jc w:val="both"/>
              <w:rPr>
                <w:sz w:val="28"/>
              </w:rPr>
            </w:pPr>
            <w:r>
              <w:rPr>
                <w:noProof/>
              </w:rPr>
              <w:drawing>
                <wp:inline distT="0" distB="0" distL="0" distR="0">
                  <wp:extent cx="1365209" cy="1822013"/>
                  <wp:effectExtent l="19050" t="0" r="6391" b="0"/>
                  <wp:docPr id="322" name="Immagine 322"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descr="Immagine correlata"/>
                          <pic:cNvPicPr>
                            <a:picLocks noChangeAspect="1" noChangeArrowheads="1"/>
                          </pic:cNvPicPr>
                        </pic:nvPicPr>
                        <pic:blipFill>
                          <a:blip r:embed="rId104" cstate="print"/>
                          <a:srcRect/>
                          <a:stretch>
                            <a:fillRect/>
                          </a:stretch>
                        </pic:blipFill>
                        <pic:spPr bwMode="auto">
                          <a:xfrm>
                            <a:off x="0" y="0"/>
                            <a:ext cx="1365055" cy="1821808"/>
                          </a:xfrm>
                          <a:prstGeom prst="rect">
                            <a:avLst/>
                          </a:prstGeom>
                          <a:noFill/>
                          <a:ln w="9525">
                            <a:noFill/>
                            <a:miter lim="800000"/>
                            <a:headEnd/>
                            <a:tailEnd/>
                          </a:ln>
                        </pic:spPr>
                      </pic:pic>
                    </a:graphicData>
                  </a:graphic>
                </wp:inline>
              </w:drawing>
            </w:r>
          </w:p>
          <w:p w:rsidR="001A0CE3" w:rsidRPr="001A0CE3" w:rsidRDefault="001A0CE3" w:rsidP="000B2651">
            <w:pPr>
              <w:pStyle w:val="Paragrafoelenco"/>
              <w:numPr>
                <w:ilvl w:val="0"/>
                <w:numId w:val="30"/>
              </w:numPr>
              <w:jc w:val="both"/>
              <w:rPr>
                <w:sz w:val="28"/>
              </w:rPr>
            </w:pPr>
            <w:r>
              <w:rPr>
                <w:sz w:val="28"/>
              </w:rPr>
              <w:t>Per Vasilij Maklakov e la sua ala “destra” si doveva collaborare di più con il governo della 1° Duma e rompere con l’estremismo rivoluzionario</w:t>
            </w:r>
          </w:p>
          <w:p w:rsidR="001A0CE3" w:rsidRPr="001A0CE3" w:rsidRDefault="001A0CE3" w:rsidP="000B2651">
            <w:pPr>
              <w:jc w:val="both"/>
              <w:rPr>
                <w:sz w:val="28"/>
              </w:rPr>
            </w:pPr>
          </w:p>
        </w:tc>
      </w:tr>
      <w:tr w:rsidR="001A0CE3" w:rsidTr="001A0CE3">
        <w:tc>
          <w:tcPr>
            <w:tcW w:w="9778" w:type="dxa"/>
          </w:tcPr>
          <w:p w:rsidR="001A0CE3" w:rsidRDefault="001A0CE3" w:rsidP="000B2651">
            <w:pPr>
              <w:jc w:val="both"/>
              <w:rPr>
                <w:sz w:val="28"/>
              </w:rPr>
            </w:pPr>
            <w:r>
              <w:rPr>
                <w:sz w:val="28"/>
              </w:rPr>
              <w:t>La sinistra fu decimata</w:t>
            </w:r>
            <w:r w:rsidR="003A38DE">
              <w:rPr>
                <w:sz w:val="28"/>
              </w:rPr>
              <w:t xml:space="preserve"> dalla repressione e ridotta alla clandestinità o al carcere o alla deportazione o all’esilio. Lenin, Martov e Cernov già dal 1906 e tutto il 1907 furono costretti a trasferirsi all’estero (Svizzera, Inghilterra e Francia). I congressi del POSDR e del PSR si svolsero all’estero.</w:t>
            </w:r>
          </w:p>
          <w:p w:rsidR="003A38DE" w:rsidRDefault="003A38DE" w:rsidP="000B2651">
            <w:pPr>
              <w:jc w:val="both"/>
              <w:rPr>
                <w:sz w:val="28"/>
              </w:rPr>
            </w:pPr>
            <w:r>
              <w:rPr>
                <w:noProof/>
              </w:rPr>
              <w:lastRenderedPageBreak/>
              <w:drawing>
                <wp:inline distT="0" distB="0" distL="0" distR="0">
                  <wp:extent cx="2698271" cy="1743480"/>
                  <wp:effectExtent l="19050" t="0" r="6829" b="0"/>
                  <wp:docPr id="325" name="Immagine 325" descr="Risultati immagini per mart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Risultati immagini per martov"/>
                          <pic:cNvPicPr>
                            <a:picLocks noChangeAspect="1" noChangeArrowheads="1"/>
                          </pic:cNvPicPr>
                        </pic:nvPicPr>
                        <pic:blipFill>
                          <a:blip r:embed="rId105"/>
                          <a:srcRect/>
                          <a:stretch>
                            <a:fillRect/>
                          </a:stretch>
                        </pic:blipFill>
                        <pic:spPr bwMode="auto">
                          <a:xfrm>
                            <a:off x="0" y="0"/>
                            <a:ext cx="2698033" cy="1743326"/>
                          </a:xfrm>
                          <a:prstGeom prst="rect">
                            <a:avLst/>
                          </a:prstGeom>
                          <a:noFill/>
                          <a:ln w="9525">
                            <a:noFill/>
                            <a:miter lim="800000"/>
                            <a:headEnd/>
                            <a:tailEnd/>
                          </a:ln>
                        </pic:spPr>
                      </pic:pic>
                    </a:graphicData>
                  </a:graphic>
                </wp:inline>
              </w:drawing>
            </w:r>
            <w:r w:rsidR="00CA3EEA">
              <w:rPr>
                <w:noProof/>
              </w:rPr>
              <w:drawing>
                <wp:inline distT="0" distB="0" distL="0" distR="0">
                  <wp:extent cx="2876803" cy="1742536"/>
                  <wp:effectExtent l="19050" t="0" r="0" b="0"/>
                  <wp:docPr id="22" name="Immagine 32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descr="Immagine correlata"/>
                          <pic:cNvPicPr>
                            <a:picLocks noChangeAspect="1" noChangeArrowheads="1"/>
                          </pic:cNvPicPr>
                        </pic:nvPicPr>
                        <pic:blipFill>
                          <a:blip r:embed="rId106"/>
                          <a:srcRect/>
                          <a:stretch>
                            <a:fillRect/>
                          </a:stretch>
                        </pic:blipFill>
                        <pic:spPr bwMode="auto">
                          <a:xfrm>
                            <a:off x="0" y="0"/>
                            <a:ext cx="2879162" cy="1743965"/>
                          </a:xfrm>
                          <a:prstGeom prst="rect">
                            <a:avLst/>
                          </a:prstGeom>
                          <a:noFill/>
                          <a:ln w="9525">
                            <a:noFill/>
                            <a:miter lim="800000"/>
                            <a:headEnd/>
                            <a:tailEnd/>
                          </a:ln>
                        </pic:spPr>
                      </pic:pic>
                    </a:graphicData>
                  </a:graphic>
                </wp:inline>
              </w:drawing>
            </w:r>
            <w:r w:rsidR="00CA3EEA">
              <w:rPr>
                <w:rStyle w:val="Rimandonotaapidipagina"/>
                <w:sz w:val="28"/>
              </w:rPr>
              <w:footnoteReference w:id="34"/>
            </w:r>
          </w:p>
          <w:p w:rsidR="003A38DE" w:rsidRDefault="003A38DE" w:rsidP="000B2651">
            <w:pPr>
              <w:pStyle w:val="Paragrafoelenco"/>
              <w:numPr>
                <w:ilvl w:val="0"/>
                <w:numId w:val="30"/>
              </w:numPr>
              <w:jc w:val="both"/>
              <w:rPr>
                <w:sz w:val="28"/>
              </w:rPr>
            </w:pPr>
            <w:r>
              <w:rPr>
                <w:sz w:val="28"/>
              </w:rPr>
              <w:t>I Menscevichi accettarono la collaborazione “costituzionale democratica”. Proseg</w:t>
            </w:r>
            <w:r w:rsidR="00CA3EEA">
              <w:rPr>
                <w:sz w:val="28"/>
              </w:rPr>
              <w:t>uivano la propaganda presso la c</w:t>
            </w:r>
            <w:r>
              <w:rPr>
                <w:sz w:val="28"/>
              </w:rPr>
              <w:t>lasse operaia</w:t>
            </w:r>
            <w:r w:rsidR="00CA3EEA">
              <w:rPr>
                <w:sz w:val="28"/>
              </w:rPr>
              <w:t>. Martov e Akel’rod pensavano che la rivoluzione era stata prematura a causa dell’arretratezza sociale ed economica della Russia. Bisogna porre nuove basi rivoluzionarie;</w:t>
            </w:r>
          </w:p>
          <w:p w:rsidR="00CA3EEA" w:rsidRDefault="00CA3EEA" w:rsidP="000B2651">
            <w:pPr>
              <w:pStyle w:val="Paragrafoelenco"/>
              <w:numPr>
                <w:ilvl w:val="0"/>
                <w:numId w:val="30"/>
              </w:numPr>
              <w:jc w:val="both"/>
              <w:rPr>
                <w:sz w:val="28"/>
              </w:rPr>
            </w:pPr>
            <w:r>
              <w:rPr>
                <w:sz w:val="28"/>
              </w:rPr>
              <w:t>I Bolscevichi guidati da Lenin ritenevano che il popolo aveva mostrato “creatività rivoluzionaria”. Pensavano che i contadini erano i veri alleati degli operai nella rivoluzione democratico-borghese. Acquisirono elementi del programma sociolrivoluzionario in relazione alla questione della terra ai contadini;</w:t>
            </w:r>
          </w:p>
          <w:p w:rsidR="00CA3EEA" w:rsidRDefault="00CA3EEA" w:rsidP="000B2651">
            <w:pPr>
              <w:jc w:val="both"/>
              <w:rPr>
                <w:sz w:val="28"/>
              </w:rPr>
            </w:pPr>
            <w:r>
              <w:rPr>
                <w:sz w:val="28"/>
              </w:rPr>
              <w:t>Bolscevichi e Mescevichi si erano avvicinati durate la 1° Rivoluzione. Formalmente rimasero uniti dal Congresso congiunto dell’aprile 1906 fino al 1912 , ma in questo periodo si crearono le premesse della differente lezione ed esperienza della rivoluzione</w:t>
            </w:r>
          </w:p>
          <w:p w:rsidR="00CA3EEA" w:rsidRPr="00F82238" w:rsidRDefault="00CA3EEA" w:rsidP="000B2651">
            <w:pPr>
              <w:pStyle w:val="Paragrafoelenco"/>
              <w:numPr>
                <w:ilvl w:val="0"/>
                <w:numId w:val="31"/>
              </w:numPr>
              <w:jc w:val="both"/>
              <w:rPr>
                <w:sz w:val="28"/>
              </w:rPr>
            </w:pPr>
            <w:r>
              <w:rPr>
                <w:sz w:val="28"/>
              </w:rPr>
              <w:t>SR attraversò una grande crisi. Era il partito meno centralizzato e quasi si estinse. Molti suoi elementi di spicco morirono come Michail Goc e Grigori Gersuni. Inoltre sorprendente fu la notizia su Evno Azev</w:t>
            </w:r>
            <w:r w:rsidR="00F82238">
              <w:rPr>
                <w:sz w:val="28"/>
              </w:rPr>
              <w:t>, capo dell’OC, era una spia dell’Ocrana, polizia segreta zarista. Cernov, leader della coalizione, pensava che la rivoluzione aveva un carattere prematuro perché erano mancatii tempi di politicizzazione e coinvolgimento delle masse contadine. Gli SR adottarono una tattica più difensiva. Il programma delle terre era invariato: socializzazione della terra con l’aggiunta dell’esproprio e dell’uso egualitario</w:t>
            </w:r>
          </w:p>
        </w:tc>
      </w:tr>
      <w:tr w:rsidR="00F82238" w:rsidTr="001A0CE3">
        <w:tc>
          <w:tcPr>
            <w:tcW w:w="9778" w:type="dxa"/>
          </w:tcPr>
          <w:p w:rsidR="00F82238" w:rsidRDefault="00F82238" w:rsidP="000B2651">
            <w:pPr>
              <w:jc w:val="both"/>
              <w:rPr>
                <w:sz w:val="28"/>
              </w:rPr>
            </w:pPr>
            <w:r>
              <w:rPr>
                <w:sz w:val="28"/>
              </w:rPr>
              <w:lastRenderedPageBreak/>
              <w:t>I Vertici di Stato, lo Zar, gli ambiente reazionari negarono di aver corso un pericolo, negarono che la rivoluzione era il vero volto del paese, negarono la trasformazione costituzionale dell’autocrazia e le concessioni, secondo loro “estorte”. Attribuirono la colpa a Witte pensavano di riassumere un atteggiamento efferato contro una futura rivoluzione.</w:t>
            </w:r>
          </w:p>
          <w:p w:rsidR="00F82238" w:rsidRPr="00F82238" w:rsidRDefault="00F82238" w:rsidP="000B2651">
            <w:pPr>
              <w:pStyle w:val="Paragrafoelenco"/>
              <w:numPr>
                <w:ilvl w:val="0"/>
                <w:numId w:val="31"/>
              </w:numPr>
              <w:jc w:val="both"/>
              <w:rPr>
                <w:sz w:val="28"/>
              </w:rPr>
            </w:pPr>
            <w:r>
              <w:rPr>
                <w:sz w:val="28"/>
              </w:rPr>
              <w:t xml:space="preserve">I proprietari terrieri facevano capo a “Nobiltà unita”: 1) capirono l’importanza di uno Stato forte e in grado di tutelare gli interessi delle classi possidenti e di reprimere con la forza la rivoluzione; 2) affermazione dell’individualismo </w:t>
            </w:r>
            <w:r>
              <w:rPr>
                <w:sz w:val="28"/>
              </w:rPr>
              <w:lastRenderedPageBreak/>
              <w:t>economico e difesa dei diritti di proprietà</w:t>
            </w:r>
          </w:p>
        </w:tc>
      </w:tr>
      <w:tr w:rsidR="00F82238" w:rsidTr="001A0CE3">
        <w:tc>
          <w:tcPr>
            <w:tcW w:w="9778" w:type="dxa"/>
          </w:tcPr>
          <w:p w:rsidR="004F2E80" w:rsidRDefault="004F2E80" w:rsidP="000B2651">
            <w:pPr>
              <w:jc w:val="both"/>
              <w:rPr>
                <w:sz w:val="28"/>
              </w:rPr>
            </w:pPr>
            <w:r>
              <w:rPr>
                <w:noProof/>
              </w:rPr>
              <w:lastRenderedPageBreak/>
              <w:drawing>
                <wp:inline distT="0" distB="0" distL="0" distR="0">
                  <wp:extent cx="2817137" cy="1878091"/>
                  <wp:effectExtent l="19050" t="0" r="2263" b="0"/>
                  <wp:docPr id="331" name="Immagine 33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descr="Immagine correlata"/>
                          <pic:cNvPicPr>
                            <a:picLocks noChangeAspect="1" noChangeArrowheads="1"/>
                          </pic:cNvPicPr>
                        </pic:nvPicPr>
                        <pic:blipFill>
                          <a:blip r:embed="rId107"/>
                          <a:srcRect/>
                          <a:stretch>
                            <a:fillRect/>
                          </a:stretch>
                        </pic:blipFill>
                        <pic:spPr bwMode="auto">
                          <a:xfrm>
                            <a:off x="0" y="0"/>
                            <a:ext cx="2819895" cy="1879930"/>
                          </a:xfrm>
                          <a:prstGeom prst="rect">
                            <a:avLst/>
                          </a:prstGeom>
                          <a:noFill/>
                          <a:ln w="9525">
                            <a:noFill/>
                            <a:miter lim="800000"/>
                            <a:headEnd/>
                            <a:tailEnd/>
                          </a:ln>
                        </pic:spPr>
                      </pic:pic>
                    </a:graphicData>
                  </a:graphic>
                </wp:inline>
              </w:drawing>
            </w:r>
            <w:r>
              <w:t xml:space="preserve"> Stolypin vs Witte</w:t>
            </w:r>
            <w:r>
              <w:rPr>
                <w:noProof/>
              </w:rPr>
              <w:drawing>
                <wp:inline distT="0" distB="0" distL="0" distR="0">
                  <wp:extent cx="1297000" cy="1881963"/>
                  <wp:effectExtent l="19050" t="0" r="0" b="0"/>
                  <wp:docPr id="334" name="Immagine 334" descr="Risultati immagini per wi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descr="Risultati immagini per witte"/>
                          <pic:cNvPicPr>
                            <a:picLocks noChangeAspect="1" noChangeArrowheads="1"/>
                          </pic:cNvPicPr>
                        </pic:nvPicPr>
                        <pic:blipFill>
                          <a:blip r:embed="rId108" cstate="print"/>
                          <a:srcRect/>
                          <a:stretch>
                            <a:fillRect/>
                          </a:stretch>
                        </pic:blipFill>
                        <pic:spPr bwMode="auto">
                          <a:xfrm>
                            <a:off x="0" y="0"/>
                            <a:ext cx="1298299" cy="1883847"/>
                          </a:xfrm>
                          <a:prstGeom prst="rect">
                            <a:avLst/>
                          </a:prstGeom>
                          <a:noFill/>
                          <a:ln w="9525">
                            <a:noFill/>
                            <a:miter lim="800000"/>
                            <a:headEnd/>
                            <a:tailEnd/>
                          </a:ln>
                        </pic:spPr>
                      </pic:pic>
                    </a:graphicData>
                  </a:graphic>
                </wp:inline>
              </w:drawing>
            </w:r>
          </w:p>
          <w:p w:rsidR="00F82238" w:rsidRDefault="00F82238" w:rsidP="000B2651">
            <w:pPr>
              <w:jc w:val="both"/>
              <w:rPr>
                <w:sz w:val="28"/>
              </w:rPr>
            </w:pPr>
            <w:r>
              <w:rPr>
                <w:sz w:val="28"/>
              </w:rPr>
              <w:t>Un capitolo a parte è per Stolypin. Personaggio di grande ambizione, energia e capacità personali. Difese la modernizzazione, l’autocrazie e le “riforme dall’alto”. Fu il protagonista indiscusso fino alla morte ne 1911. Stolypin perseguiva la “rivoluzione  dall’alto”, in base al modello prussiano. Contrapponeva la “grande Russia” alle “grandi insurrezioni”. Voleva creare una classe agricola agiat</w:t>
            </w:r>
            <w:r w:rsidR="004F2E80">
              <w:rPr>
                <w:sz w:val="28"/>
              </w:rPr>
              <w:t>a e creare un sentimento patriottico di nazione grande-russa.</w:t>
            </w:r>
          </w:p>
          <w:p w:rsidR="004F2E80" w:rsidRDefault="004F2E80" w:rsidP="000B2651">
            <w:pPr>
              <w:jc w:val="both"/>
              <w:rPr>
                <w:sz w:val="28"/>
              </w:rPr>
            </w:pPr>
            <w:r>
              <w:rPr>
                <w:sz w:val="28"/>
              </w:rPr>
              <w:t>Lo storico Ascher pensa che la sua morte prematura condizionò negativamente la Russia. Lo storico Pipes riteneva che era l’unico politico ad avere doti politiche ampie, anche più di Witte.</w:t>
            </w:r>
          </w:p>
          <w:p w:rsidR="004F2E80" w:rsidRDefault="004F2E80" w:rsidP="000B2651">
            <w:pPr>
              <w:jc w:val="both"/>
              <w:rPr>
                <w:sz w:val="28"/>
              </w:rPr>
            </w:pPr>
            <w:r>
              <w:rPr>
                <w:sz w:val="28"/>
              </w:rPr>
              <w:t>Witte fu rivalutato dai progressisti e cadetti. Cadetti e progressisti criticarono Stolypin. La promessa di Stolypin di “datemi venti anni e vi trasformerò la Russia” secondo alcuni era possibile, invece, per altri era destinata a fallire date le fratture insanabili della società russa.</w:t>
            </w:r>
          </w:p>
        </w:tc>
      </w:tr>
    </w:tbl>
    <w:p w:rsidR="001A0CE3" w:rsidRDefault="004F2E80" w:rsidP="000B2651">
      <w:pPr>
        <w:pStyle w:val="Titolo2"/>
        <w:jc w:val="both"/>
        <w:rPr>
          <w:sz w:val="28"/>
        </w:rPr>
      </w:pPr>
      <w:bookmarkStart w:id="21" w:name="_Toc493625446"/>
      <w:r>
        <w:rPr>
          <w:sz w:val="28"/>
        </w:rPr>
        <w:t>Stolyypin e la 3° Duma</w:t>
      </w:r>
      <w:bookmarkEnd w:id="21"/>
    </w:p>
    <w:p w:rsidR="004F2E80" w:rsidRDefault="004F2E80" w:rsidP="000B2651">
      <w:pPr>
        <w:jc w:val="both"/>
        <w:rPr>
          <w:sz w:val="28"/>
        </w:rPr>
      </w:pPr>
      <w:r>
        <w:rPr>
          <w:sz w:val="28"/>
        </w:rPr>
        <w:t>La 3° Duma si insediò nel Novembre del 1907 e durò 5 anni. 300 deputati su 442 erano appartenevano ai partiti</w:t>
      </w:r>
      <w:r w:rsidR="00F176A1">
        <w:rPr>
          <w:sz w:val="28"/>
        </w:rPr>
        <w:t xml:space="preserve"> monarchici.</w:t>
      </w:r>
      <w:r w:rsidR="004A6AC8">
        <w:rPr>
          <w:sz w:val="28"/>
        </w:rPr>
        <w:t xml:space="preserve"> La lega di Guckov sosteneva gli interessi dei proprietari terrieri, della destra liberale e dei circoli d’affari.</w:t>
      </w:r>
    </w:p>
    <w:p w:rsidR="00F176A1" w:rsidRDefault="00F176A1" w:rsidP="000B2651">
      <w:pPr>
        <w:jc w:val="both"/>
        <w:rPr>
          <w:sz w:val="28"/>
        </w:rPr>
      </w:pPr>
      <w:r>
        <w:rPr>
          <w:noProof/>
        </w:rPr>
        <w:drawing>
          <wp:inline distT="0" distB="0" distL="0" distR="0">
            <wp:extent cx="1275360" cy="2208395"/>
            <wp:effectExtent l="19050" t="0" r="990" b="0"/>
            <wp:docPr id="337" name="Immagine 337" descr="https://upload.wikimedia.org/wikipedia/commons/thumb/0/04/Guchkov_1.jpg/320px-Guchkov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7" descr="https://upload.wikimedia.org/wikipedia/commons/thumb/0/04/Guchkov_1.jpg/320px-Guchkov_1.jpg"/>
                    <pic:cNvPicPr>
                      <a:picLocks noChangeAspect="1" noChangeArrowheads="1"/>
                    </pic:cNvPicPr>
                  </pic:nvPicPr>
                  <pic:blipFill>
                    <a:blip r:embed="rId109"/>
                    <a:srcRect/>
                    <a:stretch>
                      <a:fillRect/>
                    </a:stretch>
                  </pic:blipFill>
                  <pic:spPr bwMode="auto">
                    <a:xfrm>
                      <a:off x="0" y="0"/>
                      <a:ext cx="1275627" cy="2208857"/>
                    </a:xfrm>
                    <a:prstGeom prst="rect">
                      <a:avLst/>
                    </a:prstGeom>
                    <a:noFill/>
                    <a:ln w="9525">
                      <a:noFill/>
                      <a:miter lim="800000"/>
                      <a:headEnd/>
                      <a:tailEnd/>
                    </a:ln>
                  </pic:spPr>
                </pic:pic>
              </a:graphicData>
            </a:graphic>
          </wp:inline>
        </w:drawing>
      </w:r>
      <w:r w:rsidR="004A6AC8" w:rsidRPr="004A6AC8">
        <w:t xml:space="preserve"> </w:t>
      </w:r>
      <w:r w:rsidR="004A6AC8">
        <w:rPr>
          <w:noProof/>
        </w:rPr>
        <w:drawing>
          <wp:inline distT="0" distB="0" distL="0" distR="0">
            <wp:extent cx="1560368" cy="2193919"/>
            <wp:effectExtent l="19050" t="0" r="1732" b="0"/>
            <wp:docPr id="340" name="Immagine 340" descr="Risultati immagini per stolyp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descr="Risultati immagini per stolypin"/>
                    <pic:cNvPicPr>
                      <a:picLocks noChangeAspect="1" noChangeArrowheads="1"/>
                    </pic:cNvPicPr>
                  </pic:nvPicPr>
                  <pic:blipFill>
                    <a:blip r:embed="rId110"/>
                    <a:srcRect/>
                    <a:stretch>
                      <a:fillRect/>
                    </a:stretch>
                  </pic:blipFill>
                  <pic:spPr bwMode="auto">
                    <a:xfrm>
                      <a:off x="0" y="0"/>
                      <a:ext cx="1562089" cy="2196338"/>
                    </a:xfrm>
                    <a:prstGeom prst="rect">
                      <a:avLst/>
                    </a:prstGeom>
                    <a:noFill/>
                    <a:ln w="9525">
                      <a:noFill/>
                      <a:miter lim="800000"/>
                      <a:headEnd/>
                      <a:tailEnd/>
                    </a:ln>
                  </pic:spPr>
                </pic:pic>
              </a:graphicData>
            </a:graphic>
          </wp:inline>
        </w:drawing>
      </w:r>
      <w:r w:rsidR="0054344A" w:rsidRPr="0054344A">
        <w:t xml:space="preserve"> </w:t>
      </w:r>
      <w:r w:rsidR="0054344A">
        <w:rPr>
          <w:noProof/>
        </w:rPr>
        <w:drawing>
          <wp:inline distT="0" distB="0" distL="0" distR="0">
            <wp:extent cx="1229090" cy="2196935"/>
            <wp:effectExtent l="19050" t="0" r="9160" b="0"/>
            <wp:docPr id="343" name="Immagine 343" descr="https://upload.wikimedia.org/wikipedia/commons/thumb/c/cb/Bogrov1910.jpg/320px-Bogrov1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 descr="https://upload.wikimedia.org/wikipedia/commons/thumb/c/cb/Bogrov1910.jpg/320px-Bogrov1910.jpg"/>
                    <pic:cNvPicPr>
                      <a:picLocks noChangeAspect="1" noChangeArrowheads="1"/>
                    </pic:cNvPicPr>
                  </pic:nvPicPr>
                  <pic:blipFill>
                    <a:blip r:embed="rId111"/>
                    <a:srcRect/>
                    <a:stretch>
                      <a:fillRect/>
                    </a:stretch>
                  </pic:blipFill>
                  <pic:spPr bwMode="auto">
                    <a:xfrm>
                      <a:off x="0" y="0"/>
                      <a:ext cx="1230416" cy="2199305"/>
                    </a:xfrm>
                    <a:prstGeom prst="rect">
                      <a:avLst/>
                    </a:prstGeom>
                    <a:noFill/>
                    <a:ln w="9525">
                      <a:noFill/>
                      <a:miter lim="800000"/>
                      <a:headEnd/>
                      <a:tailEnd/>
                    </a:ln>
                  </pic:spPr>
                </pic:pic>
              </a:graphicData>
            </a:graphic>
          </wp:inline>
        </w:drawing>
      </w:r>
      <w:r w:rsidR="00920D5D" w:rsidRPr="00920D5D">
        <w:t xml:space="preserve"> </w:t>
      </w:r>
      <w:r w:rsidR="00920D5D">
        <w:rPr>
          <w:noProof/>
        </w:rPr>
        <w:drawing>
          <wp:inline distT="0" distB="0" distL="0" distR="0">
            <wp:extent cx="1704441" cy="2208810"/>
            <wp:effectExtent l="19050" t="0" r="0" b="0"/>
            <wp:docPr id="346" name="Immagine 346" descr="Vladimir Nikolaevič Kokovc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descr="Vladimir Nikolaevič Kokovcov.jpg"/>
                    <pic:cNvPicPr>
                      <a:picLocks noChangeAspect="1" noChangeArrowheads="1"/>
                    </pic:cNvPicPr>
                  </pic:nvPicPr>
                  <pic:blipFill>
                    <a:blip r:embed="rId112"/>
                    <a:srcRect/>
                    <a:stretch>
                      <a:fillRect/>
                    </a:stretch>
                  </pic:blipFill>
                  <pic:spPr bwMode="auto">
                    <a:xfrm>
                      <a:off x="0" y="0"/>
                      <a:ext cx="1707559" cy="2212851"/>
                    </a:xfrm>
                    <a:prstGeom prst="rect">
                      <a:avLst/>
                    </a:prstGeom>
                    <a:noFill/>
                    <a:ln w="9525">
                      <a:noFill/>
                      <a:miter lim="800000"/>
                      <a:headEnd/>
                      <a:tailEnd/>
                    </a:ln>
                  </pic:spPr>
                </pic:pic>
              </a:graphicData>
            </a:graphic>
          </wp:inline>
        </w:drawing>
      </w:r>
    </w:p>
    <w:p w:rsidR="004A6AC8" w:rsidRDefault="004A6AC8" w:rsidP="000B2651">
      <w:pPr>
        <w:jc w:val="both"/>
        <w:rPr>
          <w:sz w:val="28"/>
        </w:rPr>
      </w:pPr>
      <w:r>
        <w:rPr>
          <w:sz w:val="28"/>
        </w:rPr>
        <w:lastRenderedPageBreak/>
        <w:t>Esigue le forze di opposizione: i cadetti avevano 50 seggi e i socialisti circa 30. Ben presenti erano i menscevichi georgiani, mentre, SR aveva boicottato le votazioni.</w:t>
      </w:r>
    </w:p>
    <w:p w:rsidR="004A6AC8" w:rsidRDefault="004A6AC8" w:rsidP="000B2651">
      <w:pPr>
        <w:jc w:val="both"/>
        <w:rPr>
          <w:sz w:val="28"/>
        </w:rPr>
      </w:pPr>
      <w:r>
        <w:rPr>
          <w:sz w:val="28"/>
        </w:rPr>
        <w:t>Stolypin si coalizzò con i deputati ottobristi con cui condivideva obiettivi di difesa del sistema politico, promozione sviluppo capitalistico, egemonia della nazionalità grande-russa e assetto centralizzato dell’Impero.</w:t>
      </w:r>
    </w:p>
    <w:p w:rsidR="004A6AC8" w:rsidRDefault="004A6AC8" w:rsidP="000B2651">
      <w:pPr>
        <w:jc w:val="both"/>
        <w:rPr>
          <w:sz w:val="28"/>
        </w:rPr>
      </w:pPr>
      <w:r>
        <w:rPr>
          <w:sz w:val="28"/>
        </w:rPr>
        <w:t>La più i</w:t>
      </w:r>
      <w:r w:rsidR="00CD5B28">
        <w:rPr>
          <w:sz w:val="28"/>
        </w:rPr>
        <w:t>mportante delle riforma di Stolypi</w:t>
      </w:r>
      <w:r>
        <w:rPr>
          <w:sz w:val="28"/>
        </w:rPr>
        <w:t>n era la legge del 9 novembre 1906: libertà di uscire dall’</w:t>
      </w:r>
      <w:r>
        <w:rPr>
          <w:i/>
          <w:sz w:val="28"/>
        </w:rPr>
        <w:t>obscina</w:t>
      </w:r>
      <w:r>
        <w:rPr>
          <w:sz w:val="28"/>
        </w:rPr>
        <w:t>, ratificata dalla Duma nel 1908 e dal Consiglio di Stato nel 1910.</w:t>
      </w:r>
      <w:r w:rsidR="0049331B">
        <w:rPr>
          <w:sz w:val="28"/>
        </w:rPr>
        <w:t xml:space="preserve"> La Duma introdusse una modifica di grande impatto: nelle comunità che da 24 ripartivano le ricchezze, gli appezzamenti di terra divenivano </w:t>
      </w:r>
      <w:r w:rsidR="0049331B">
        <w:rPr>
          <w:i/>
          <w:sz w:val="28"/>
        </w:rPr>
        <w:t>de facto</w:t>
      </w:r>
      <w:r w:rsidR="0049331B">
        <w:rPr>
          <w:sz w:val="28"/>
        </w:rPr>
        <w:t xml:space="preserve"> del capofamiglia.</w:t>
      </w:r>
      <w:r w:rsidR="00CD5B28">
        <w:rPr>
          <w:sz w:val="28"/>
        </w:rPr>
        <w:t xml:space="preserve"> Anche se il Consiglio di Stato tentò di modificarla, ma la legge passò per soli due voti.</w:t>
      </w:r>
    </w:p>
    <w:p w:rsidR="00CD5B28" w:rsidRDefault="00CD5B28" w:rsidP="000B2651">
      <w:pPr>
        <w:jc w:val="both"/>
        <w:rPr>
          <w:sz w:val="28"/>
        </w:rPr>
      </w:pPr>
      <w:r>
        <w:rPr>
          <w:sz w:val="28"/>
        </w:rPr>
        <w:t>Nel frattempo il nazionalismo russo influenzò il dibattito pubblico dopo la mancata annessione asburgica della Bosnia Erzegovina. Addirittura anche i Cadetti, difensori dell’autonomie periferiche, assunsero un atteggiamento nazionalista.</w:t>
      </w:r>
    </w:p>
    <w:p w:rsidR="00CD5B28" w:rsidRDefault="00CD5B28" w:rsidP="000B2651">
      <w:pPr>
        <w:jc w:val="both"/>
        <w:rPr>
          <w:sz w:val="28"/>
        </w:rPr>
      </w:pPr>
      <w:r>
        <w:rPr>
          <w:sz w:val="28"/>
        </w:rPr>
        <w:t>Stolypin adottò una politica nazionalista grazie al sostegno della maggioranza parlamentare:</w:t>
      </w:r>
    </w:p>
    <w:p w:rsidR="00CD5B28" w:rsidRDefault="00CD5B28" w:rsidP="000B2651">
      <w:pPr>
        <w:pStyle w:val="Paragrafoelenco"/>
        <w:numPr>
          <w:ilvl w:val="0"/>
          <w:numId w:val="31"/>
        </w:numPr>
        <w:jc w:val="both"/>
        <w:rPr>
          <w:sz w:val="28"/>
        </w:rPr>
      </w:pPr>
      <w:r>
        <w:rPr>
          <w:sz w:val="28"/>
        </w:rPr>
        <w:t>Costituzione nel 1909-12 della provincia russa nella regione di Chelm</w:t>
      </w:r>
      <w:r>
        <w:rPr>
          <w:rStyle w:val="Rimandonotaapidipagina"/>
          <w:sz w:val="28"/>
        </w:rPr>
        <w:footnoteReference w:id="35"/>
      </w:r>
      <w:r>
        <w:rPr>
          <w:sz w:val="28"/>
        </w:rPr>
        <w:t xml:space="preserve"> (accorpamento di 11 distretti di ex province polacche)</w:t>
      </w:r>
    </w:p>
    <w:p w:rsidR="00CD5B28" w:rsidRDefault="00CD5B28" w:rsidP="000B2651">
      <w:pPr>
        <w:pStyle w:val="Paragrafoelenco"/>
        <w:numPr>
          <w:ilvl w:val="0"/>
          <w:numId w:val="31"/>
        </w:numPr>
        <w:jc w:val="both"/>
        <w:rPr>
          <w:sz w:val="28"/>
        </w:rPr>
      </w:pPr>
      <w:r>
        <w:rPr>
          <w:sz w:val="28"/>
        </w:rPr>
        <w:t>Ridimensionamento nel 1910 dell’autonomia finlandese (sia per le libertà civili sia il parlamento finlandese, Sejm)</w:t>
      </w:r>
    </w:p>
    <w:p w:rsidR="00CD5B28" w:rsidRDefault="00CD5B28" w:rsidP="000B2651">
      <w:pPr>
        <w:pStyle w:val="Paragrafoelenco"/>
        <w:numPr>
          <w:ilvl w:val="0"/>
          <w:numId w:val="31"/>
        </w:numPr>
        <w:jc w:val="both"/>
        <w:rPr>
          <w:sz w:val="28"/>
        </w:rPr>
      </w:pPr>
      <w:r>
        <w:rPr>
          <w:sz w:val="28"/>
        </w:rPr>
        <w:t xml:space="preserve">Introduzione degli </w:t>
      </w:r>
      <w:r>
        <w:rPr>
          <w:i/>
          <w:sz w:val="28"/>
        </w:rPr>
        <w:t>zemstva</w:t>
      </w:r>
      <w:r>
        <w:rPr>
          <w:sz w:val="28"/>
        </w:rPr>
        <w:t xml:space="preserve"> nel 1911 nelle 9 province occidentali (sistema elettorale in modo da </w:t>
      </w:r>
      <w:r w:rsidR="0054344A">
        <w:rPr>
          <w:sz w:val="28"/>
        </w:rPr>
        <w:t>s</w:t>
      </w:r>
      <w:r>
        <w:rPr>
          <w:sz w:val="28"/>
        </w:rPr>
        <w:t xml:space="preserve">favorire i contadini </w:t>
      </w:r>
      <w:r w:rsidR="0054344A">
        <w:rPr>
          <w:sz w:val="28"/>
        </w:rPr>
        <w:t>polacchi)</w:t>
      </w:r>
    </w:p>
    <w:p w:rsidR="0054344A" w:rsidRDefault="0054344A" w:rsidP="000B2651">
      <w:pPr>
        <w:jc w:val="both"/>
        <w:rPr>
          <w:sz w:val="28"/>
        </w:rPr>
      </w:pPr>
      <w:r>
        <w:rPr>
          <w:sz w:val="28"/>
        </w:rPr>
        <w:t xml:space="preserve">Stolypin aveva un rapporto difficile con lo zar. </w:t>
      </w:r>
      <w:r w:rsidRPr="0054344A">
        <w:rPr>
          <w:sz w:val="28"/>
        </w:rPr>
        <w:t>Attorno allo zar si unirono ambienti reazionari e Nobiltà unita, il clero ortodosso, am</w:t>
      </w:r>
      <w:r>
        <w:rPr>
          <w:sz w:val="28"/>
        </w:rPr>
        <w:t>bienti sciovinisti e antisemiti. Da 19010 Stolypin ebbe contrasti con gli ottobristi:</w:t>
      </w:r>
    </w:p>
    <w:p w:rsidR="0054344A" w:rsidRPr="0054344A" w:rsidRDefault="0054344A" w:rsidP="000B2651">
      <w:pPr>
        <w:pStyle w:val="Paragrafoelenco"/>
        <w:numPr>
          <w:ilvl w:val="0"/>
          <w:numId w:val="32"/>
        </w:numPr>
        <w:jc w:val="both"/>
        <w:rPr>
          <w:sz w:val="28"/>
        </w:rPr>
      </w:pPr>
      <w:r w:rsidRPr="0054344A">
        <w:rPr>
          <w:sz w:val="28"/>
        </w:rPr>
        <w:t xml:space="preserve">per la riforma dell’unità minima dell’autogoverno locale, il </w:t>
      </w:r>
      <w:r w:rsidRPr="0054344A">
        <w:rPr>
          <w:i/>
          <w:sz w:val="28"/>
        </w:rPr>
        <w:t>volost’</w:t>
      </w:r>
      <w:r>
        <w:rPr>
          <w:i/>
          <w:sz w:val="28"/>
        </w:rPr>
        <w:t>;</w:t>
      </w:r>
    </w:p>
    <w:p w:rsidR="0054344A" w:rsidRDefault="0054344A" w:rsidP="000B2651">
      <w:pPr>
        <w:pStyle w:val="Paragrafoelenco"/>
        <w:numPr>
          <w:ilvl w:val="0"/>
          <w:numId w:val="32"/>
        </w:numPr>
        <w:jc w:val="both"/>
        <w:rPr>
          <w:sz w:val="28"/>
        </w:rPr>
      </w:pPr>
      <w:r>
        <w:rPr>
          <w:sz w:val="28"/>
        </w:rPr>
        <w:t>per il rafforzamento dell’istruzione pubblica, la libertà di religione e maggiore riconoscimento alla Duma</w:t>
      </w:r>
    </w:p>
    <w:p w:rsidR="0054344A" w:rsidRDefault="0054344A" w:rsidP="000B2651">
      <w:pPr>
        <w:jc w:val="both"/>
        <w:rPr>
          <w:sz w:val="28"/>
        </w:rPr>
      </w:pPr>
      <w:r>
        <w:rPr>
          <w:sz w:val="28"/>
        </w:rPr>
        <w:lastRenderedPageBreak/>
        <w:t>Il discorso si accese attorno alla riforma dello Stato maggiore della Marina. La Duma entrò in merito alla questione finanziando e discutendo del personale. Lo Zar lo considerò un atto di gravissima interferenza e respinse il progetto di legge.</w:t>
      </w:r>
    </w:p>
    <w:p w:rsidR="0054344A" w:rsidRDefault="0054344A" w:rsidP="000B2651">
      <w:pPr>
        <w:jc w:val="both"/>
        <w:rPr>
          <w:sz w:val="28"/>
        </w:rPr>
      </w:pPr>
      <w:r>
        <w:rPr>
          <w:sz w:val="28"/>
        </w:rPr>
        <w:t xml:space="preserve">Stolypin ruppe con gli ottobristi in seguito alla crisi degli </w:t>
      </w:r>
      <w:r>
        <w:rPr>
          <w:i/>
          <w:sz w:val="28"/>
        </w:rPr>
        <w:t>zemstva</w:t>
      </w:r>
      <w:r>
        <w:rPr>
          <w:sz w:val="28"/>
        </w:rPr>
        <w:t xml:space="preserve"> occidentali. Stolypin usò l’articolo 87, il decreto di emergenza, dopo che fu negato il provvedimento al Consiglio di Stato. gli ottobristi minacciarono le dimissioni, lo stesso Guckov si dimise dalla presidenza della Duma.</w:t>
      </w:r>
    </w:p>
    <w:p w:rsidR="0054344A" w:rsidRDefault="0054344A" w:rsidP="000B2651">
      <w:pPr>
        <w:jc w:val="both"/>
        <w:rPr>
          <w:sz w:val="28"/>
        </w:rPr>
      </w:pPr>
      <w:r>
        <w:rPr>
          <w:sz w:val="28"/>
        </w:rPr>
        <w:t>Stolypin si ritrovò solato e fu assassinato a Kiev da Dmitrij Bogrov, simpatizzante SR e al soldo di Ochrana. A Stolypin successe Vladimir Kokovcov, già ministro delle Finanze</w:t>
      </w:r>
      <w:r w:rsidR="00920D5D">
        <w:rPr>
          <w:sz w:val="28"/>
        </w:rPr>
        <w:t>. Rimase in carica fino al 2 gennaio 1914. Dopo gli subentrò il decrepito e ultraconservatore Ivan Goremykin.</w:t>
      </w:r>
    </w:p>
    <w:p w:rsidR="005C44AF" w:rsidRDefault="005C44AF" w:rsidP="000B2651">
      <w:pPr>
        <w:pStyle w:val="Titolo2"/>
        <w:jc w:val="both"/>
        <w:rPr>
          <w:sz w:val="28"/>
        </w:rPr>
      </w:pPr>
      <w:bookmarkStart w:id="22" w:name="_Toc493625447"/>
      <w:r>
        <w:rPr>
          <w:sz w:val="28"/>
        </w:rPr>
        <w:t>Riforma agraria, mobilità sociale, nazionalizzazione delle masse</w:t>
      </w:r>
      <w:bookmarkEnd w:id="22"/>
    </w:p>
    <w:p w:rsidR="00BD27FB" w:rsidRDefault="005C44AF" w:rsidP="000B2651">
      <w:pPr>
        <w:jc w:val="both"/>
        <w:rPr>
          <w:sz w:val="28"/>
        </w:rPr>
      </w:pPr>
      <w:r>
        <w:rPr>
          <w:sz w:val="28"/>
        </w:rPr>
        <w:t>La riforma agraria di Stolypin fu oggetto di controversie. La riforma si arenò già prima del 1914: molti declinarono il distacco dalla comunità agricola già dal 1910. Radicata fu l’ostilità contadina verso la dissoluzione degli ordinamenti comuni</w:t>
      </w:r>
      <w:r w:rsidR="00BD27FB">
        <w:rPr>
          <w:sz w:val="28"/>
        </w:rPr>
        <w:t>t</w:t>
      </w:r>
      <w:r>
        <w:rPr>
          <w:sz w:val="28"/>
        </w:rPr>
        <w:t>ari</w:t>
      </w:r>
      <w:r w:rsidR="00BD27FB">
        <w:rPr>
          <w:sz w:val="28"/>
        </w:rPr>
        <w:t xml:space="preserve">. Anche dove si attuò il distacco la produttività rimase bassa: gli appezzamenti non avevano dimensioni sufficienti perché persisteva il frazionamento in strisce della terra. La politica colonizzatrice della Siberia fu positiva. Le leggi del 12 e 27 agosto 1906 mettevano a disposizioni le proprietà della Corona. Fra 1906e il 1916 si </w:t>
      </w:r>
      <w:r w:rsidR="00BD27FB">
        <w:rPr>
          <w:sz w:val="28"/>
        </w:rPr>
        <w:lastRenderedPageBreak/>
        <w:t>trasferirono in Siberia e Asia Centrale ben 3 milioni.</w:t>
      </w:r>
      <w:r w:rsidR="00BD27FB">
        <w:rPr>
          <w:noProof/>
        </w:rPr>
        <w:drawing>
          <wp:inline distT="0" distB="0" distL="0" distR="0">
            <wp:extent cx="6120130" cy="3529615"/>
            <wp:effectExtent l="19050" t="0" r="0" b="0"/>
            <wp:docPr id="352" name="Immagine 352" descr="https://upload.wikimedia.org/wikipedia/commons/thumb/6/69/Siberia-FederalSubjects.svg/1200px-Siberia-FederalSubjects.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https://upload.wikimedia.org/wikipedia/commons/thumb/6/69/Siberia-FederalSubjects.svg/1200px-Siberia-FederalSubjects.svg.png"/>
                    <pic:cNvPicPr>
                      <a:picLocks noChangeAspect="1" noChangeArrowheads="1"/>
                    </pic:cNvPicPr>
                  </pic:nvPicPr>
                  <pic:blipFill>
                    <a:blip r:embed="rId113"/>
                    <a:srcRect/>
                    <a:stretch>
                      <a:fillRect/>
                    </a:stretch>
                  </pic:blipFill>
                  <pic:spPr bwMode="auto">
                    <a:xfrm>
                      <a:off x="0" y="0"/>
                      <a:ext cx="6120130" cy="3529615"/>
                    </a:xfrm>
                    <a:prstGeom prst="rect">
                      <a:avLst/>
                    </a:prstGeom>
                    <a:noFill/>
                    <a:ln w="9525">
                      <a:noFill/>
                      <a:miter lim="800000"/>
                      <a:headEnd/>
                      <a:tailEnd/>
                    </a:ln>
                  </pic:spPr>
                </pic:pic>
              </a:graphicData>
            </a:graphic>
          </wp:inline>
        </w:drawing>
      </w:r>
    </w:p>
    <w:p w:rsidR="00BD27FB" w:rsidRDefault="00BD27FB" w:rsidP="000B2651">
      <w:pPr>
        <w:jc w:val="both"/>
        <w:rPr>
          <w:sz w:val="28"/>
        </w:rPr>
      </w:pPr>
      <w:r>
        <w:rPr>
          <w:sz w:val="28"/>
        </w:rPr>
        <w:t>L’economia era in espansione sia in agricoltura (aumento del prezzo del grano sul mercato internazionale portò ad esportazioni migliori) e sia nell’industria e nel commercio. Il prestito francese nel Gennaio 1909 ebbe come effetti: crescita degli investimenti industriali, crescita della produzione e di beni consumo, maggiore produttività. L’industria pesante beneficiava anche del riarmo delle forze armate.</w:t>
      </w:r>
    </w:p>
    <w:p w:rsidR="00BD27FB" w:rsidRDefault="00BD27FB" w:rsidP="000B2651">
      <w:pPr>
        <w:jc w:val="both"/>
      </w:pPr>
      <w:r>
        <w:rPr>
          <w:noProof/>
        </w:rPr>
        <w:drawing>
          <wp:inline distT="0" distB="0" distL="0" distR="0">
            <wp:extent cx="3432175" cy="1515110"/>
            <wp:effectExtent l="19050" t="0" r="0" b="0"/>
            <wp:docPr id="355" name="Immagine 355" descr="Risultati immagini per corsa agli armamenti prima guerra mondiale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descr="Risultati immagini per corsa agli armamenti prima guerra mondiale russia"/>
                    <pic:cNvPicPr>
                      <a:picLocks noChangeAspect="1" noChangeArrowheads="1"/>
                    </pic:cNvPicPr>
                  </pic:nvPicPr>
                  <pic:blipFill>
                    <a:blip r:embed="rId114"/>
                    <a:srcRect/>
                    <a:stretch>
                      <a:fillRect/>
                    </a:stretch>
                  </pic:blipFill>
                  <pic:spPr bwMode="auto">
                    <a:xfrm>
                      <a:off x="0" y="0"/>
                      <a:ext cx="3432175" cy="1515110"/>
                    </a:xfrm>
                    <a:prstGeom prst="rect">
                      <a:avLst/>
                    </a:prstGeom>
                    <a:noFill/>
                    <a:ln w="9525">
                      <a:noFill/>
                      <a:miter lim="800000"/>
                      <a:headEnd/>
                      <a:tailEnd/>
                    </a:ln>
                  </pic:spPr>
                </pic:pic>
              </a:graphicData>
            </a:graphic>
          </wp:inline>
        </w:drawing>
      </w:r>
      <w:r w:rsidRPr="00BD27FB">
        <w:t xml:space="preserve"> </w:t>
      </w:r>
      <w:r>
        <w:rPr>
          <w:noProof/>
        </w:rPr>
        <w:drawing>
          <wp:inline distT="0" distB="0" distL="0" distR="0">
            <wp:extent cx="2082706" cy="1524076"/>
            <wp:effectExtent l="19050" t="0" r="0" b="0"/>
            <wp:docPr id="358" name="Immagine 358"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Immagine correlata"/>
                    <pic:cNvPicPr>
                      <a:picLocks noChangeAspect="1" noChangeArrowheads="1"/>
                    </pic:cNvPicPr>
                  </pic:nvPicPr>
                  <pic:blipFill>
                    <a:blip r:embed="rId115"/>
                    <a:srcRect/>
                    <a:stretch>
                      <a:fillRect/>
                    </a:stretch>
                  </pic:blipFill>
                  <pic:spPr bwMode="auto">
                    <a:xfrm>
                      <a:off x="0" y="0"/>
                      <a:ext cx="2083686" cy="1524793"/>
                    </a:xfrm>
                    <a:prstGeom prst="rect">
                      <a:avLst/>
                    </a:prstGeom>
                    <a:noFill/>
                    <a:ln w="9525">
                      <a:noFill/>
                      <a:miter lim="800000"/>
                      <a:headEnd/>
                      <a:tailEnd/>
                    </a:ln>
                  </pic:spPr>
                </pic:pic>
              </a:graphicData>
            </a:graphic>
          </wp:inline>
        </w:drawing>
      </w:r>
    </w:p>
    <w:p w:rsidR="00213B37" w:rsidRDefault="00213B37" w:rsidP="000B2651">
      <w:pPr>
        <w:jc w:val="both"/>
        <w:rPr>
          <w:sz w:val="28"/>
        </w:rPr>
      </w:pPr>
      <w:r>
        <w:rPr>
          <w:sz w:val="28"/>
        </w:rPr>
        <w:t xml:space="preserve">La società e la cultura urbana si articolarono. Nel periodo 1907-14 la diversificazione interessò la classe produttiva e imprenditoriale: la </w:t>
      </w:r>
      <w:r>
        <w:rPr>
          <w:i/>
          <w:sz w:val="28"/>
        </w:rPr>
        <w:t>burzuazika</w:t>
      </w:r>
      <w:r>
        <w:rPr>
          <w:sz w:val="28"/>
        </w:rPr>
        <w:t>. Mentre gli operai a partire dal 1912 (massacro degli operai in sciopero nelle miniere d’oro della Lena) incominciarono a scioperare ma repressi facilmente. Però si diffondeva la tutela sociale: assicurazione per infortuni e malattia sul modello bismarckiano, finanziata da operai e datori di lavoro.</w:t>
      </w:r>
    </w:p>
    <w:p w:rsidR="00213B37" w:rsidRDefault="00213B37" w:rsidP="000B2651">
      <w:pPr>
        <w:jc w:val="both"/>
        <w:rPr>
          <w:sz w:val="28"/>
        </w:rPr>
      </w:pPr>
      <w:r>
        <w:rPr>
          <w:sz w:val="28"/>
        </w:rPr>
        <w:lastRenderedPageBreak/>
        <w:t>Le politiche statali accelerarono i processi di “nazionalizzazione delle masse” (legislazione, istruzione, leva obbligatoria). A partire dal 1906 e 1907 i conservatori si opposero ai modernizzatori nel settore militare. era lo scontro fra lo Stato maggiore e il ministro dell’Interno. I fautori della riforma volevano perseguir il modello dell’Impero tedesco. Il 1972 una nuova legge sulla coscrizione aveva l’obiettivo di migliorare le condizioni fisiche delle reclute, ridurre le categorie esentate e progettare il servizio militare come un’esperienza condivisa in modo da avvicinare elites e popolo.</w:t>
      </w:r>
    </w:p>
    <w:p w:rsidR="00213B37" w:rsidRPr="00213B37" w:rsidRDefault="00213B37" w:rsidP="000B2651">
      <w:pPr>
        <w:pStyle w:val="Titolo2"/>
        <w:jc w:val="both"/>
        <w:rPr>
          <w:sz w:val="28"/>
        </w:rPr>
      </w:pPr>
      <w:bookmarkStart w:id="23" w:name="_Toc493625448"/>
      <w:r w:rsidRPr="00213B37">
        <w:rPr>
          <w:sz w:val="28"/>
        </w:rPr>
        <w:t>Polarizzazione o stabilizzazione?</w:t>
      </w:r>
      <w:bookmarkEnd w:id="23"/>
    </w:p>
    <w:p w:rsidR="00213B37" w:rsidRDefault="00D10D79" w:rsidP="000B2651">
      <w:pPr>
        <w:jc w:val="both"/>
        <w:rPr>
          <w:sz w:val="28"/>
        </w:rPr>
      </w:pPr>
      <w:r>
        <w:rPr>
          <w:sz w:val="28"/>
        </w:rPr>
        <w:t>La morte di Stolypin segnò anche novità politiche: le forze riformiste si scontravano con i centristi, ma salgono alla ribalta i progressisti nel 1912.</w:t>
      </w:r>
      <w:r w:rsidR="00B33EA2">
        <w:rPr>
          <w:sz w:val="28"/>
        </w:rPr>
        <w:t xml:space="preserve"> I progressisti fecero del loro slogan il ritorno al Manifesto del 17 Ottobre 1905. I progressisti intendevano far confluire: ottobristi di sinistra, cadetti di destra, esponenti del centro-sinistra, </w:t>
      </w:r>
      <w:r w:rsidR="00B33EA2" w:rsidRPr="00B33EA2">
        <w:rPr>
          <w:i/>
          <w:sz w:val="28"/>
        </w:rPr>
        <w:t>intell</w:t>
      </w:r>
      <w:r w:rsidR="00B33EA2">
        <w:rPr>
          <w:i/>
          <w:sz w:val="28"/>
        </w:rPr>
        <w:t xml:space="preserve">igentija </w:t>
      </w:r>
      <w:r w:rsidR="00B33EA2">
        <w:rPr>
          <w:sz w:val="28"/>
        </w:rPr>
        <w:t>progressista e borghesia produttiva.</w:t>
      </w:r>
    </w:p>
    <w:p w:rsidR="00B33EA2" w:rsidRDefault="00B33EA2" w:rsidP="000B2651">
      <w:pPr>
        <w:jc w:val="both"/>
        <w:rPr>
          <w:sz w:val="28"/>
        </w:rPr>
      </w:pPr>
      <w:r>
        <w:rPr>
          <w:sz w:val="28"/>
        </w:rPr>
        <w:t>La 4° Duma eletta il 15 novembre aveva questo schieramento:</w:t>
      </w:r>
    </w:p>
    <w:p w:rsidR="00B33EA2" w:rsidRDefault="00B33EA2" w:rsidP="000B2651">
      <w:pPr>
        <w:pStyle w:val="Paragrafoelenco"/>
        <w:numPr>
          <w:ilvl w:val="0"/>
          <w:numId w:val="33"/>
        </w:numPr>
        <w:jc w:val="both"/>
        <w:rPr>
          <w:sz w:val="28"/>
        </w:rPr>
      </w:pPr>
      <w:r>
        <w:rPr>
          <w:sz w:val="28"/>
        </w:rPr>
        <w:t>185 deputati di destra</w:t>
      </w:r>
    </w:p>
    <w:p w:rsidR="00B33EA2" w:rsidRDefault="00B33EA2" w:rsidP="000B2651">
      <w:pPr>
        <w:pStyle w:val="Paragrafoelenco"/>
        <w:numPr>
          <w:ilvl w:val="0"/>
          <w:numId w:val="33"/>
        </w:numPr>
        <w:jc w:val="both"/>
        <w:rPr>
          <w:sz w:val="28"/>
        </w:rPr>
      </w:pPr>
      <w:r>
        <w:rPr>
          <w:sz w:val="28"/>
        </w:rPr>
        <w:t>98 ottobristi</w:t>
      </w:r>
    </w:p>
    <w:p w:rsidR="00B33EA2" w:rsidRDefault="00B33EA2" w:rsidP="000B2651">
      <w:pPr>
        <w:pStyle w:val="Paragrafoelenco"/>
        <w:numPr>
          <w:ilvl w:val="0"/>
          <w:numId w:val="33"/>
        </w:numPr>
        <w:jc w:val="both"/>
        <w:rPr>
          <w:sz w:val="28"/>
        </w:rPr>
      </w:pPr>
      <w:r>
        <w:rPr>
          <w:sz w:val="28"/>
        </w:rPr>
        <w:t>150 di sinistra (59 cadetti)</w:t>
      </w:r>
    </w:p>
    <w:p w:rsidR="00B33EA2" w:rsidRDefault="00B33EA2" w:rsidP="000B2651">
      <w:pPr>
        <w:pStyle w:val="Paragrafoelenco"/>
        <w:numPr>
          <w:ilvl w:val="0"/>
          <w:numId w:val="33"/>
        </w:numPr>
        <w:jc w:val="both"/>
        <w:rPr>
          <w:sz w:val="28"/>
        </w:rPr>
      </w:pPr>
      <w:r>
        <w:rPr>
          <w:sz w:val="28"/>
        </w:rPr>
        <w:t>48 progressisti</w:t>
      </w:r>
    </w:p>
    <w:p w:rsidR="00B33EA2" w:rsidRDefault="00B33EA2" w:rsidP="000B2651">
      <w:pPr>
        <w:jc w:val="both"/>
        <w:rPr>
          <w:sz w:val="28"/>
        </w:rPr>
      </w:pPr>
      <w:r>
        <w:rPr>
          <w:sz w:val="28"/>
        </w:rPr>
        <w:t>Lo spostamento politico era da destra verso il centro, più vicino agli ottobristi che richiedevano il rispetto della legalità e dei diritti civili e presa di distanza dello sciovinismo grande-russo. Il presidente ottobrista, Michail Rodzjanko, inaugurò i lavori dell’assemblea richiamandosi alla piena attuazione del Manifesto del 17 Ottobre</w:t>
      </w:r>
      <w:r>
        <w:rPr>
          <w:rStyle w:val="Rimandonotaapidipagina"/>
          <w:sz w:val="28"/>
        </w:rPr>
        <w:footnoteReference w:id="36"/>
      </w:r>
      <w:r>
        <w:rPr>
          <w:sz w:val="28"/>
        </w:rPr>
        <w:t>.</w:t>
      </w:r>
    </w:p>
    <w:p w:rsidR="00E817F2" w:rsidRDefault="00E817F2" w:rsidP="000B2651">
      <w:pPr>
        <w:jc w:val="both"/>
        <w:rPr>
          <w:sz w:val="28"/>
        </w:rPr>
      </w:pPr>
      <w:r>
        <w:rPr>
          <w:sz w:val="28"/>
        </w:rPr>
        <w:lastRenderedPageBreak/>
        <w:t>La Duma era debole però dal punto di vista istituzionale. La Corte e gli ambienti vicini alla Corona rimanevano più influenti politicamente. Inoltre crescevano i fattori di condizionamento intorno a Nicola II a causa di varie circostanze:</w:t>
      </w:r>
    </w:p>
    <w:p w:rsidR="00E817F2" w:rsidRDefault="00E817F2" w:rsidP="000B2651">
      <w:pPr>
        <w:pStyle w:val="Paragrafoelenco"/>
        <w:numPr>
          <w:ilvl w:val="0"/>
          <w:numId w:val="34"/>
        </w:numPr>
        <w:jc w:val="both"/>
        <w:rPr>
          <w:sz w:val="28"/>
        </w:rPr>
      </w:pPr>
      <w:r>
        <w:rPr>
          <w:sz w:val="28"/>
        </w:rPr>
        <w:t>La preoccupazione dell’emofilia del pretendente al trono Aleksej;</w:t>
      </w:r>
    </w:p>
    <w:p w:rsidR="00E817F2" w:rsidRDefault="00E817F2" w:rsidP="000B2651">
      <w:pPr>
        <w:pStyle w:val="Paragrafoelenco"/>
        <w:numPr>
          <w:ilvl w:val="0"/>
          <w:numId w:val="34"/>
        </w:numPr>
        <w:jc w:val="both"/>
        <w:rPr>
          <w:sz w:val="28"/>
        </w:rPr>
      </w:pPr>
      <w:r>
        <w:rPr>
          <w:sz w:val="28"/>
        </w:rPr>
        <w:t>Invadenze nelle questioni di Stato della zarina, Aleksandra Deforovna</w:t>
      </w:r>
    </w:p>
    <w:p w:rsidR="00E817F2" w:rsidRPr="00E817F2" w:rsidRDefault="00E817F2" w:rsidP="000B2651">
      <w:pPr>
        <w:pStyle w:val="Paragrafoelenco"/>
        <w:numPr>
          <w:ilvl w:val="0"/>
          <w:numId w:val="34"/>
        </w:numPr>
        <w:jc w:val="both"/>
        <w:rPr>
          <w:sz w:val="28"/>
        </w:rPr>
      </w:pPr>
      <w:r>
        <w:rPr>
          <w:sz w:val="28"/>
        </w:rPr>
        <w:t>Pesante influenza sula corte dell’ambiguo monaco Grigorij Rasputin, che a sua volta dispensava favori in virtù del suo rapporto privilegiato con la Corona</w:t>
      </w:r>
    </w:p>
    <w:p w:rsidR="00B33EA2" w:rsidRDefault="00B33EA2" w:rsidP="000B2651">
      <w:pPr>
        <w:jc w:val="both"/>
      </w:pPr>
      <w:r>
        <w:rPr>
          <w:noProof/>
        </w:rPr>
        <w:drawing>
          <wp:inline distT="0" distB="0" distL="0" distR="0">
            <wp:extent cx="1270664" cy="1908113"/>
            <wp:effectExtent l="19050" t="0" r="5686" b="0"/>
            <wp:docPr id="361" name="Immagine 361" descr="Risultati immagini per mikhail rodzian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Risultati immagini per mikhail rodzianko"/>
                    <pic:cNvPicPr>
                      <a:picLocks noChangeAspect="1" noChangeArrowheads="1"/>
                    </pic:cNvPicPr>
                  </pic:nvPicPr>
                  <pic:blipFill>
                    <a:blip r:embed="rId116"/>
                    <a:srcRect/>
                    <a:stretch>
                      <a:fillRect/>
                    </a:stretch>
                  </pic:blipFill>
                  <pic:spPr bwMode="auto">
                    <a:xfrm>
                      <a:off x="0" y="0"/>
                      <a:ext cx="1271613" cy="1909537"/>
                    </a:xfrm>
                    <a:prstGeom prst="rect">
                      <a:avLst/>
                    </a:prstGeom>
                    <a:noFill/>
                    <a:ln w="9525">
                      <a:noFill/>
                      <a:miter lim="800000"/>
                      <a:headEnd/>
                      <a:tailEnd/>
                    </a:ln>
                  </pic:spPr>
                </pic:pic>
              </a:graphicData>
            </a:graphic>
          </wp:inline>
        </w:drawing>
      </w:r>
      <w:r w:rsidR="00E817F2" w:rsidRPr="00E817F2">
        <w:t xml:space="preserve"> </w:t>
      </w:r>
      <w:r w:rsidR="00E817F2">
        <w:rPr>
          <w:noProof/>
        </w:rPr>
        <w:drawing>
          <wp:inline distT="0" distB="0" distL="0" distR="0">
            <wp:extent cx="1262959" cy="1903862"/>
            <wp:effectExtent l="19050" t="0" r="0" b="0"/>
            <wp:docPr id="364" name="Immagine 364" descr="Risultati immagini per nicola ii ras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4" descr="Risultati immagini per nicola ii rasputin"/>
                    <pic:cNvPicPr>
                      <a:picLocks noChangeAspect="1" noChangeArrowheads="1"/>
                    </pic:cNvPicPr>
                  </pic:nvPicPr>
                  <pic:blipFill>
                    <a:blip r:embed="rId117" cstate="print"/>
                    <a:srcRect/>
                    <a:stretch>
                      <a:fillRect/>
                    </a:stretch>
                  </pic:blipFill>
                  <pic:spPr bwMode="auto">
                    <a:xfrm>
                      <a:off x="0" y="0"/>
                      <a:ext cx="1262955" cy="1903856"/>
                    </a:xfrm>
                    <a:prstGeom prst="rect">
                      <a:avLst/>
                    </a:prstGeom>
                    <a:noFill/>
                    <a:ln w="9525">
                      <a:noFill/>
                      <a:miter lim="800000"/>
                      <a:headEnd/>
                      <a:tailEnd/>
                    </a:ln>
                  </pic:spPr>
                </pic:pic>
              </a:graphicData>
            </a:graphic>
          </wp:inline>
        </w:drawing>
      </w:r>
      <w:r w:rsidR="00E817F2" w:rsidRPr="00E817F2">
        <w:t xml:space="preserve"> </w:t>
      </w:r>
      <w:r w:rsidR="00E817F2">
        <w:rPr>
          <w:noProof/>
        </w:rPr>
        <w:drawing>
          <wp:inline distT="0" distB="0" distL="0" distR="0">
            <wp:extent cx="1446805" cy="1908092"/>
            <wp:effectExtent l="19050" t="0" r="995" b="0"/>
            <wp:docPr id="367" name="Immagine 367" descr="Risultati immagini per aleksej rom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Risultati immagini per aleksej romanov"/>
                    <pic:cNvPicPr>
                      <a:picLocks noChangeAspect="1" noChangeArrowheads="1"/>
                    </pic:cNvPicPr>
                  </pic:nvPicPr>
                  <pic:blipFill>
                    <a:blip r:embed="rId118" cstate="print"/>
                    <a:srcRect/>
                    <a:stretch>
                      <a:fillRect/>
                    </a:stretch>
                  </pic:blipFill>
                  <pic:spPr bwMode="auto">
                    <a:xfrm>
                      <a:off x="0" y="0"/>
                      <a:ext cx="1446855" cy="1908158"/>
                    </a:xfrm>
                    <a:prstGeom prst="rect">
                      <a:avLst/>
                    </a:prstGeom>
                    <a:noFill/>
                    <a:ln w="9525">
                      <a:noFill/>
                      <a:miter lim="800000"/>
                      <a:headEnd/>
                      <a:tailEnd/>
                    </a:ln>
                  </pic:spPr>
                </pic:pic>
              </a:graphicData>
            </a:graphic>
          </wp:inline>
        </w:drawing>
      </w:r>
      <w:r w:rsidR="00E817F2" w:rsidRPr="00E817F2">
        <w:t xml:space="preserve"> </w:t>
      </w:r>
      <w:r w:rsidR="00E817F2">
        <w:rPr>
          <w:noProof/>
        </w:rPr>
        <w:drawing>
          <wp:inline distT="0" distB="0" distL="0" distR="0">
            <wp:extent cx="1249482" cy="1903863"/>
            <wp:effectExtent l="19050" t="0" r="7818" b="0"/>
            <wp:docPr id="370" name="Immagine 370" descr="https://upload.wikimedia.org/wikipedia/commons/2/24/AlixAlekszej19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https://upload.wikimedia.org/wikipedia/commons/2/24/AlixAlekszej1913.jpg"/>
                    <pic:cNvPicPr>
                      <a:picLocks noChangeAspect="1" noChangeArrowheads="1"/>
                    </pic:cNvPicPr>
                  </pic:nvPicPr>
                  <pic:blipFill>
                    <a:blip r:embed="rId119" cstate="print"/>
                    <a:srcRect/>
                    <a:stretch>
                      <a:fillRect/>
                    </a:stretch>
                  </pic:blipFill>
                  <pic:spPr bwMode="auto">
                    <a:xfrm>
                      <a:off x="0" y="0"/>
                      <a:ext cx="1249673" cy="1904154"/>
                    </a:xfrm>
                    <a:prstGeom prst="rect">
                      <a:avLst/>
                    </a:prstGeom>
                    <a:noFill/>
                    <a:ln w="9525">
                      <a:noFill/>
                      <a:miter lim="800000"/>
                      <a:headEnd/>
                      <a:tailEnd/>
                    </a:ln>
                  </pic:spPr>
                </pic:pic>
              </a:graphicData>
            </a:graphic>
          </wp:inline>
        </w:drawing>
      </w:r>
    </w:p>
    <w:p w:rsidR="001C28E8" w:rsidRDefault="001C28E8" w:rsidP="000B2651">
      <w:pPr>
        <w:jc w:val="both"/>
        <w:rPr>
          <w:sz w:val="28"/>
        </w:rPr>
      </w:pPr>
      <w:r w:rsidRPr="001C28E8">
        <w:rPr>
          <w:sz w:val="28"/>
        </w:rPr>
        <w:t>Il mondo</w:t>
      </w:r>
      <w:r>
        <w:rPr>
          <w:sz w:val="28"/>
        </w:rPr>
        <w:t xml:space="preserve"> politico cercò di allontanare Rasputin dalla famiglia imperiale. La 4° Duma esaminò la deleteria presenza di Rasputin. Ma la grave crisi emorragica attraversata dallo </w:t>
      </w:r>
      <w:r>
        <w:rPr>
          <w:i/>
          <w:sz w:val="28"/>
        </w:rPr>
        <w:t>zarevic</w:t>
      </w:r>
      <w:r>
        <w:rPr>
          <w:sz w:val="28"/>
        </w:rPr>
        <w:t xml:space="preserve"> nell’ottobre 1912 rese il monaco indispensabile agli occhi della zarina. La zarina credeva che Rasputin avesse salvato il figlio. Rasputin divenne intangibile da quel momento.</w:t>
      </w:r>
      <w:r w:rsidR="00B466B5">
        <w:rPr>
          <w:sz w:val="28"/>
        </w:rPr>
        <w:t xml:space="preserve"> Lo zar anche se voleva allontanarlo, non voleva diventare l’assassinio di suo figlio agli occhi della zarina. Si diffusero le voci sui costumi lascivi e corrotti di Rasputin: tutto ciò aumentò il divario fra la famiglia imperiale e la società russa. Inoltre i Romanov celebrarono:</w:t>
      </w:r>
    </w:p>
    <w:p w:rsidR="00B466B5" w:rsidRDefault="00B466B5" w:rsidP="000B2651">
      <w:pPr>
        <w:pStyle w:val="Paragrafoelenco"/>
        <w:numPr>
          <w:ilvl w:val="0"/>
          <w:numId w:val="35"/>
        </w:numPr>
        <w:jc w:val="both"/>
        <w:rPr>
          <w:sz w:val="28"/>
        </w:rPr>
      </w:pPr>
      <w:r w:rsidRPr="00B466B5">
        <w:rPr>
          <w:sz w:val="28"/>
        </w:rPr>
        <w:t xml:space="preserve">Nel </w:t>
      </w:r>
      <w:r>
        <w:rPr>
          <w:sz w:val="28"/>
        </w:rPr>
        <w:t>1913 il 300ntenario della dinastia</w:t>
      </w:r>
    </w:p>
    <w:p w:rsidR="00B466B5" w:rsidRDefault="00B466B5" w:rsidP="000B2651">
      <w:pPr>
        <w:pStyle w:val="Paragrafoelenco"/>
        <w:numPr>
          <w:ilvl w:val="0"/>
          <w:numId w:val="35"/>
        </w:numPr>
        <w:jc w:val="both"/>
        <w:rPr>
          <w:sz w:val="28"/>
        </w:rPr>
      </w:pPr>
      <w:r>
        <w:rPr>
          <w:sz w:val="28"/>
        </w:rPr>
        <w:t>Nel 1909 l’anniversario della vittoria di Poltava</w:t>
      </w:r>
    </w:p>
    <w:p w:rsidR="00B466B5" w:rsidRDefault="00B466B5" w:rsidP="000B2651">
      <w:pPr>
        <w:pStyle w:val="Paragrafoelenco"/>
        <w:numPr>
          <w:ilvl w:val="0"/>
          <w:numId w:val="35"/>
        </w:numPr>
        <w:jc w:val="both"/>
        <w:rPr>
          <w:sz w:val="28"/>
        </w:rPr>
      </w:pPr>
      <w:r>
        <w:rPr>
          <w:sz w:val="28"/>
        </w:rPr>
        <w:t>Nel 1912 la vittoria contro Napoleone</w:t>
      </w:r>
    </w:p>
    <w:p w:rsidR="00B466B5" w:rsidRDefault="00B466B5" w:rsidP="000B2651">
      <w:pPr>
        <w:jc w:val="both"/>
        <w:rPr>
          <w:sz w:val="28"/>
        </w:rPr>
      </w:pPr>
      <w:r>
        <w:rPr>
          <w:sz w:val="28"/>
        </w:rPr>
        <w:t>Nicola II continuava nella sua flebile politica autocratica, personalistica e confessionale, addirittura di tradizione moscovita seicentesca pre-pretina, in epoca di modernizzazione  di rivoluzione politica.</w:t>
      </w:r>
    </w:p>
    <w:p w:rsidR="00B466B5" w:rsidRDefault="00F6166E" w:rsidP="000B2651">
      <w:pPr>
        <w:jc w:val="both"/>
        <w:rPr>
          <w:sz w:val="28"/>
        </w:rPr>
      </w:pPr>
      <w:r>
        <w:rPr>
          <w:sz w:val="28"/>
        </w:rPr>
        <w:t>Fra il 1905 e il 1912 si accentuò la “polarizzazione” politica secondo tre assi:</w:t>
      </w:r>
    </w:p>
    <w:tbl>
      <w:tblPr>
        <w:tblStyle w:val="Grigliatabella"/>
        <w:tblW w:w="0" w:type="auto"/>
        <w:tblLook w:val="04A0"/>
      </w:tblPr>
      <w:tblGrid>
        <w:gridCol w:w="3259"/>
        <w:gridCol w:w="3259"/>
        <w:gridCol w:w="3260"/>
      </w:tblGrid>
      <w:tr w:rsidR="00F6166E" w:rsidTr="00F6166E">
        <w:tc>
          <w:tcPr>
            <w:tcW w:w="3259" w:type="dxa"/>
          </w:tcPr>
          <w:p w:rsidR="00F6166E" w:rsidRDefault="00F6166E" w:rsidP="000B2651">
            <w:pPr>
              <w:jc w:val="both"/>
              <w:rPr>
                <w:sz w:val="28"/>
              </w:rPr>
            </w:pPr>
            <w:r>
              <w:rPr>
                <w:sz w:val="28"/>
              </w:rPr>
              <w:t>1  Frattura Zar e governo</w:t>
            </w:r>
          </w:p>
        </w:tc>
        <w:tc>
          <w:tcPr>
            <w:tcW w:w="3259" w:type="dxa"/>
          </w:tcPr>
          <w:p w:rsidR="00F6166E" w:rsidRDefault="00F6166E" w:rsidP="000B2651">
            <w:pPr>
              <w:jc w:val="both"/>
              <w:rPr>
                <w:sz w:val="28"/>
              </w:rPr>
            </w:pPr>
            <w:r>
              <w:rPr>
                <w:sz w:val="28"/>
              </w:rPr>
              <w:t>2 Frattura fra il blocco società-partiti e autocrazia</w:t>
            </w:r>
          </w:p>
        </w:tc>
        <w:tc>
          <w:tcPr>
            <w:tcW w:w="3260" w:type="dxa"/>
          </w:tcPr>
          <w:p w:rsidR="00F6166E" w:rsidRDefault="00F6166E" w:rsidP="000B2651">
            <w:pPr>
              <w:jc w:val="both"/>
              <w:rPr>
                <w:sz w:val="28"/>
              </w:rPr>
            </w:pPr>
            <w:r>
              <w:rPr>
                <w:sz w:val="28"/>
              </w:rPr>
              <w:t>3 Frattura società colta e masse popolari</w:t>
            </w:r>
          </w:p>
        </w:tc>
      </w:tr>
    </w:tbl>
    <w:p w:rsidR="00F6166E" w:rsidRDefault="00F6166E" w:rsidP="000B2651">
      <w:pPr>
        <w:jc w:val="both"/>
        <w:rPr>
          <w:sz w:val="28"/>
        </w:rPr>
      </w:pPr>
      <w:r>
        <w:rPr>
          <w:sz w:val="28"/>
        </w:rPr>
        <w:lastRenderedPageBreak/>
        <w:t>Inoltre la via politica delle nazioni periferiche fu ancora di più ridimensionata. Furono abolite le concessione del 1905. Dal 1907 iniziarono movimenti assimilatori di “russificazione” in un contesto di forte competizione internazionale. Era necessario sottomettere le inaffidabili nazionalità. Insomma il nazionalismo grande-russo sfociò ed era una base di mobilitazione e cementificazione sociale.</w:t>
      </w:r>
    </w:p>
    <w:p w:rsidR="00F6166E" w:rsidRDefault="00F6166E" w:rsidP="000B2651">
      <w:pPr>
        <w:jc w:val="both"/>
        <w:rPr>
          <w:sz w:val="28"/>
        </w:rPr>
      </w:pPr>
      <w:r>
        <w:rPr>
          <w:sz w:val="28"/>
        </w:rPr>
        <w:t>Lo zarismo pre-bellico era pieno di contraddizioni:</w:t>
      </w:r>
    </w:p>
    <w:p w:rsidR="00F6166E" w:rsidRDefault="00F6166E" w:rsidP="000B2651">
      <w:pPr>
        <w:pStyle w:val="Paragrafoelenco"/>
        <w:numPr>
          <w:ilvl w:val="0"/>
          <w:numId w:val="36"/>
        </w:numPr>
        <w:jc w:val="both"/>
        <w:rPr>
          <w:sz w:val="28"/>
        </w:rPr>
      </w:pPr>
      <w:r>
        <w:rPr>
          <w:sz w:val="28"/>
        </w:rPr>
        <w:t>Spingeva al progresso economico e alla caccia ai rivoluzionari: quindi si stabilizzava</w:t>
      </w:r>
    </w:p>
    <w:p w:rsidR="00F6166E" w:rsidRDefault="00B21751" w:rsidP="000B2651">
      <w:pPr>
        <w:pStyle w:val="Paragrafoelenco"/>
        <w:numPr>
          <w:ilvl w:val="0"/>
          <w:numId w:val="36"/>
        </w:numPr>
        <w:jc w:val="both"/>
        <w:rPr>
          <w:sz w:val="28"/>
        </w:rPr>
      </w:pPr>
      <w:r>
        <w:rPr>
          <w:sz w:val="28"/>
        </w:rPr>
        <w:t>Crescevano i conflitti di classe sociale, di etnie in un quadro sociale sempre più frantumato e disgregato</w:t>
      </w:r>
    </w:p>
    <w:p w:rsidR="00B21751" w:rsidRDefault="00B21751" w:rsidP="000B2651">
      <w:pPr>
        <w:jc w:val="both"/>
        <w:rPr>
          <w:sz w:val="28"/>
        </w:rPr>
      </w:pPr>
      <w:r>
        <w:rPr>
          <w:sz w:val="28"/>
        </w:rPr>
        <w:t>La guerra sarà un fattore di accelerazione delle spinte disgregatrici.</w:t>
      </w:r>
    </w:p>
    <w:p w:rsidR="00B21751" w:rsidRDefault="00B21751" w:rsidP="000B2651">
      <w:pPr>
        <w:pStyle w:val="Titolo2"/>
        <w:jc w:val="both"/>
        <w:rPr>
          <w:sz w:val="28"/>
        </w:rPr>
      </w:pPr>
      <w:bookmarkStart w:id="24" w:name="_Toc493625449"/>
      <w:r>
        <w:rPr>
          <w:sz w:val="28"/>
        </w:rPr>
        <w:t>Formazione dell’Intesa e questione baltica: verso la guerra</w:t>
      </w:r>
      <w:bookmarkEnd w:id="24"/>
    </w:p>
    <w:p w:rsidR="00F6166E" w:rsidRDefault="00AE27E2" w:rsidP="000B2651">
      <w:pPr>
        <w:jc w:val="both"/>
        <w:rPr>
          <w:sz w:val="28"/>
        </w:rPr>
      </w:pPr>
      <w:r>
        <w:rPr>
          <w:sz w:val="28"/>
        </w:rPr>
        <w:t>Le premesse alla Triplice Intesa fra Russia, Francia e Inghilterra furono poste negli ultimi decenni dell’Ottocento.</w:t>
      </w:r>
      <w:r w:rsidR="00135CFB">
        <w:rPr>
          <w:sz w:val="28"/>
        </w:rPr>
        <w:t xml:space="preserve"> La Lega dei 3 imperatori fu stipulata nel 1881 e rinnovata nel 1885. Ma le alleanze si sgretolarono a causa della Crisi Bulgara nel 1885, che coinvolse Austria-Ungheria e Russia. La Bulgaria passava dalla sfera di influenza zarista a quella asburgica.</w:t>
      </w:r>
    </w:p>
    <w:p w:rsidR="00135CFB" w:rsidRDefault="00135CFB" w:rsidP="000B2651">
      <w:pPr>
        <w:jc w:val="both"/>
        <w:rPr>
          <w:sz w:val="28"/>
        </w:rPr>
      </w:pPr>
      <w:r>
        <w:rPr>
          <w:noProof/>
        </w:rPr>
        <w:lastRenderedPageBreak/>
        <w:drawing>
          <wp:inline distT="0" distB="0" distL="0" distR="0">
            <wp:extent cx="5943600" cy="4313355"/>
            <wp:effectExtent l="19050" t="0" r="0" b="0"/>
            <wp:docPr id="385" name="Immagine 385" descr="https://upload.wikimedia.org/wikipedia/commons/8/8e/Bulgaria_dopo_Santo_Stef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5" descr="https://upload.wikimedia.org/wikipedia/commons/8/8e/Bulgaria_dopo_Santo_Stefano.png"/>
                    <pic:cNvPicPr>
                      <a:picLocks noChangeAspect="1" noChangeArrowheads="1"/>
                    </pic:cNvPicPr>
                  </pic:nvPicPr>
                  <pic:blipFill>
                    <a:blip r:embed="rId120"/>
                    <a:srcRect/>
                    <a:stretch>
                      <a:fillRect/>
                    </a:stretch>
                  </pic:blipFill>
                  <pic:spPr bwMode="auto">
                    <a:xfrm>
                      <a:off x="0" y="0"/>
                      <a:ext cx="5947371" cy="4316092"/>
                    </a:xfrm>
                    <a:prstGeom prst="rect">
                      <a:avLst/>
                    </a:prstGeom>
                    <a:noFill/>
                    <a:ln w="9525">
                      <a:noFill/>
                      <a:miter lim="800000"/>
                      <a:headEnd/>
                      <a:tailEnd/>
                    </a:ln>
                  </pic:spPr>
                </pic:pic>
              </a:graphicData>
            </a:graphic>
          </wp:inline>
        </w:drawing>
      </w:r>
      <w:r>
        <w:rPr>
          <w:rStyle w:val="Rimandonotaapidipagina"/>
          <w:sz w:val="28"/>
        </w:rPr>
        <w:footnoteReference w:id="37"/>
      </w:r>
    </w:p>
    <w:p w:rsidR="00135CFB" w:rsidRDefault="00135CFB" w:rsidP="000B2651">
      <w:pPr>
        <w:jc w:val="both"/>
        <w:rPr>
          <w:sz w:val="28"/>
        </w:rPr>
      </w:pPr>
      <w:r>
        <w:rPr>
          <w:sz w:val="28"/>
        </w:rPr>
        <w:t>Le relazioni diplomatiche fra Austria-Ungheria e Russia si compromisero per sempre. Bismarc</w:t>
      </w:r>
      <w:r w:rsidR="00D37D71">
        <w:rPr>
          <w:sz w:val="28"/>
        </w:rPr>
        <w:t>k corse ai ripari stipulando il 18 Giugno del</w:t>
      </w:r>
      <w:r>
        <w:rPr>
          <w:sz w:val="28"/>
        </w:rPr>
        <w:t xml:space="preserve"> 1887 il trattato di contro-assicurazione</w:t>
      </w:r>
      <w:r w:rsidR="00D37D71">
        <w:rPr>
          <w:rStyle w:val="Rimandonotaapidipagina"/>
          <w:sz w:val="28"/>
        </w:rPr>
        <w:footnoteReference w:id="38"/>
      </w:r>
      <w:r w:rsidR="00B0516A">
        <w:rPr>
          <w:sz w:val="28"/>
        </w:rPr>
        <w:t xml:space="preserve"> con la Russia. Ma Guglielmo II non prorogò gli accordi e Bismarck si dimise il 20 marzo 1890.</w:t>
      </w:r>
    </w:p>
    <w:p w:rsidR="00135CFB" w:rsidRDefault="00135CFB" w:rsidP="000B2651">
      <w:pPr>
        <w:jc w:val="both"/>
      </w:pPr>
      <w:r>
        <w:rPr>
          <w:noProof/>
        </w:rPr>
        <w:lastRenderedPageBreak/>
        <w:drawing>
          <wp:inline distT="0" distB="0" distL="0" distR="0">
            <wp:extent cx="1543788" cy="2253449"/>
            <wp:effectExtent l="19050" t="0" r="0" b="0"/>
            <wp:docPr id="388" name="Immagine 388" descr="Risultati immagini per otto von bismar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8" descr="Risultati immagini per otto von bismarck"/>
                    <pic:cNvPicPr>
                      <a:picLocks noChangeAspect="1" noChangeArrowheads="1"/>
                    </pic:cNvPicPr>
                  </pic:nvPicPr>
                  <pic:blipFill>
                    <a:blip r:embed="rId121" cstate="print"/>
                    <a:srcRect/>
                    <a:stretch>
                      <a:fillRect/>
                    </a:stretch>
                  </pic:blipFill>
                  <pic:spPr bwMode="auto">
                    <a:xfrm>
                      <a:off x="0" y="0"/>
                      <a:ext cx="1546019" cy="2256706"/>
                    </a:xfrm>
                    <a:prstGeom prst="rect">
                      <a:avLst/>
                    </a:prstGeom>
                    <a:noFill/>
                    <a:ln w="9525">
                      <a:noFill/>
                      <a:miter lim="800000"/>
                      <a:headEnd/>
                      <a:tailEnd/>
                    </a:ln>
                  </pic:spPr>
                </pic:pic>
              </a:graphicData>
            </a:graphic>
          </wp:inline>
        </w:drawing>
      </w:r>
      <w:r w:rsidRPr="00135CFB">
        <w:t xml:space="preserve"> </w:t>
      </w:r>
      <w:r>
        <w:rPr>
          <w:noProof/>
        </w:rPr>
        <w:drawing>
          <wp:inline distT="0" distB="0" distL="0" distR="0">
            <wp:extent cx="1983441" cy="2247900"/>
            <wp:effectExtent l="19050" t="0" r="0" b="0"/>
            <wp:docPr id="394" name="Immagine 394" descr="Risultati immagini per guglielmo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4" descr="Risultati immagini per guglielmo ii"/>
                    <pic:cNvPicPr>
                      <a:picLocks noChangeAspect="1" noChangeArrowheads="1"/>
                    </pic:cNvPicPr>
                  </pic:nvPicPr>
                  <pic:blipFill>
                    <a:blip r:embed="rId122"/>
                    <a:srcRect/>
                    <a:stretch>
                      <a:fillRect/>
                    </a:stretch>
                  </pic:blipFill>
                  <pic:spPr bwMode="auto">
                    <a:xfrm>
                      <a:off x="0" y="0"/>
                      <a:ext cx="1983441" cy="2247900"/>
                    </a:xfrm>
                    <a:prstGeom prst="rect">
                      <a:avLst/>
                    </a:prstGeom>
                    <a:noFill/>
                    <a:ln w="9525">
                      <a:noFill/>
                      <a:miter lim="800000"/>
                      <a:headEnd/>
                      <a:tailEnd/>
                    </a:ln>
                  </pic:spPr>
                </pic:pic>
              </a:graphicData>
            </a:graphic>
          </wp:inline>
        </w:drawing>
      </w:r>
      <w:r w:rsidRPr="00135CFB">
        <w:t xml:space="preserve"> </w:t>
      </w:r>
      <w:r>
        <w:rPr>
          <w:noProof/>
        </w:rPr>
        <w:drawing>
          <wp:inline distT="0" distB="0" distL="0" distR="0">
            <wp:extent cx="1428750" cy="2266950"/>
            <wp:effectExtent l="19050" t="0" r="0" b="0"/>
            <wp:docPr id="397" name="Immagine 397" descr="Risultati immagini per guglielmo ii e nicola 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Risultati immagini per guglielmo ii e nicola ii"/>
                    <pic:cNvPicPr>
                      <a:picLocks noChangeAspect="1" noChangeArrowheads="1"/>
                    </pic:cNvPicPr>
                  </pic:nvPicPr>
                  <pic:blipFill>
                    <a:blip r:embed="rId123"/>
                    <a:srcRect/>
                    <a:stretch>
                      <a:fillRect/>
                    </a:stretch>
                  </pic:blipFill>
                  <pic:spPr bwMode="auto">
                    <a:xfrm>
                      <a:off x="0" y="0"/>
                      <a:ext cx="1428750" cy="2266950"/>
                    </a:xfrm>
                    <a:prstGeom prst="rect">
                      <a:avLst/>
                    </a:prstGeom>
                    <a:noFill/>
                    <a:ln w="9525">
                      <a:noFill/>
                      <a:miter lim="800000"/>
                      <a:headEnd/>
                      <a:tailEnd/>
                    </a:ln>
                  </pic:spPr>
                </pic:pic>
              </a:graphicData>
            </a:graphic>
          </wp:inline>
        </w:drawing>
      </w:r>
      <w:r>
        <w:rPr>
          <w:rStyle w:val="Rimandonotaapidipagina"/>
        </w:rPr>
        <w:footnoteReference w:id="39"/>
      </w:r>
    </w:p>
    <w:p w:rsidR="00B0516A" w:rsidRDefault="00B0516A" w:rsidP="000B2651">
      <w:pPr>
        <w:jc w:val="both"/>
        <w:rPr>
          <w:sz w:val="28"/>
        </w:rPr>
      </w:pPr>
      <w:r>
        <w:rPr>
          <w:sz w:val="28"/>
        </w:rPr>
        <w:t>L’isolamento politico-diplomatico della Russia spingeva la stessa Russia alla ricerca di alleati. Il Great Game in Asia centrale contro l’Inghilterra giunse all’apice nel 1884. Ma la Russia rompendo i rapporti filo-tedeschi, ricercò un accordo con la Francia. La Francia era stimolata dalla possibilità di investimenti in Russia (soprattutto la Transiberiana) e la Russia accettava i capitali esteri per ripianare il debito pubblico e procedere all’industrializzazione.</w:t>
      </w:r>
    </w:p>
    <w:p w:rsidR="009C69AD" w:rsidRDefault="009C69AD" w:rsidP="000B2651">
      <w:pPr>
        <w:jc w:val="both"/>
      </w:pPr>
      <w:r>
        <w:rPr>
          <w:noProof/>
        </w:rPr>
        <w:drawing>
          <wp:inline distT="0" distB="0" distL="0" distR="0">
            <wp:extent cx="2952750" cy="2286000"/>
            <wp:effectExtent l="19050" t="0" r="0" b="0"/>
            <wp:docPr id="400" name="Immagine 40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descr="Immagine correlata"/>
                    <pic:cNvPicPr>
                      <a:picLocks noChangeAspect="1" noChangeArrowheads="1"/>
                    </pic:cNvPicPr>
                  </pic:nvPicPr>
                  <pic:blipFill>
                    <a:blip r:embed="rId124"/>
                    <a:srcRect/>
                    <a:stretch>
                      <a:fillRect/>
                    </a:stretch>
                  </pic:blipFill>
                  <pic:spPr bwMode="auto">
                    <a:xfrm>
                      <a:off x="0" y="0"/>
                      <a:ext cx="2952750" cy="2286000"/>
                    </a:xfrm>
                    <a:prstGeom prst="rect">
                      <a:avLst/>
                    </a:prstGeom>
                    <a:noFill/>
                    <a:ln w="9525">
                      <a:noFill/>
                      <a:miter lim="800000"/>
                      <a:headEnd/>
                      <a:tailEnd/>
                    </a:ln>
                  </pic:spPr>
                </pic:pic>
              </a:graphicData>
            </a:graphic>
          </wp:inline>
        </w:drawing>
      </w:r>
      <w:r w:rsidRPr="009C69AD">
        <w:t xml:space="preserve"> </w:t>
      </w:r>
      <w:r>
        <w:rPr>
          <w:noProof/>
        </w:rPr>
        <w:drawing>
          <wp:inline distT="0" distB="0" distL="0" distR="0">
            <wp:extent cx="1591183" cy="2286000"/>
            <wp:effectExtent l="19050" t="0" r="9017" b="0"/>
            <wp:docPr id="403" name="Immagine 403" descr="Alfred von Schlieff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descr="Alfred von Schlieffen.jpg"/>
                    <pic:cNvPicPr>
                      <a:picLocks noChangeAspect="1" noChangeArrowheads="1"/>
                    </pic:cNvPicPr>
                  </pic:nvPicPr>
                  <pic:blipFill>
                    <a:blip r:embed="rId125" cstate="print"/>
                    <a:srcRect/>
                    <a:stretch>
                      <a:fillRect/>
                    </a:stretch>
                  </pic:blipFill>
                  <pic:spPr bwMode="auto">
                    <a:xfrm>
                      <a:off x="0" y="0"/>
                      <a:ext cx="1591183" cy="2286000"/>
                    </a:xfrm>
                    <a:prstGeom prst="rect">
                      <a:avLst/>
                    </a:prstGeom>
                    <a:noFill/>
                    <a:ln w="9525">
                      <a:noFill/>
                      <a:miter lim="800000"/>
                      <a:headEnd/>
                      <a:tailEnd/>
                    </a:ln>
                  </pic:spPr>
                </pic:pic>
              </a:graphicData>
            </a:graphic>
          </wp:inline>
        </w:drawing>
      </w:r>
    </w:p>
    <w:p w:rsidR="00B0516A" w:rsidRDefault="00B0516A" w:rsidP="000B2651">
      <w:pPr>
        <w:jc w:val="both"/>
        <w:rPr>
          <w:sz w:val="28"/>
        </w:rPr>
      </w:pPr>
      <w:r>
        <w:rPr>
          <w:sz w:val="28"/>
        </w:rPr>
        <w:t>L’Alleanza franco-russa fu stipulata nel 1893-94 (quindi ancora sotto Alessandro III)</w:t>
      </w:r>
      <w:r w:rsidR="009C69AD">
        <w:rPr>
          <w:sz w:val="28"/>
        </w:rPr>
        <w:t>: le due potenze si impegnavano a un triplice ausilio in caso di attacco di una componente della Triplice Alleanza (Germania, Austria-Ungheria, Italia). Intanto la Germania ridefiniva il suo piano Schlieffen: consisteva nel concentrare il suo potenziale bellico tedesco contro la Francia nelle prime settimane di guerra, prima della mobilitazione russa, per poi rivolgersi sul fronte orientale.</w:t>
      </w:r>
    </w:p>
    <w:p w:rsidR="009C69AD" w:rsidRDefault="002624C2" w:rsidP="000B2651">
      <w:pPr>
        <w:jc w:val="both"/>
      </w:pPr>
      <w:r>
        <w:rPr>
          <w:noProof/>
        </w:rPr>
        <w:lastRenderedPageBreak/>
        <w:pict>
          <v:shape id="_x0000_s1035" type="#_x0000_t67" style="position:absolute;left:0;text-align:left;margin-left:365.55pt;margin-top:122.25pt;width:21pt;height:63.45pt;z-index:251667456" fillcolor="#ffc000">
            <v:textbox style="layout-flow:vertical-ideographic"/>
          </v:shape>
        </w:pict>
      </w:r>
      <w:r w:rsidR="009C69AD">
        <w:rPr>
          <w:sz w:val="28"/>
        </w:rPr>
        <w:t>La sconfitta della Russia contro il Giappone, mutò i rapporti diplomatici con l’Inghilterra. L’Inghilterra non considerava più l’Impero zarista la principale minaccia in Asia. L’avvicinamento fu storico: si concluse con la Convenzione anglo-russa del 1907.</w:t>
      </w:r>
      <w:r w:rsidR="00153C67">
        <w:rPr>
          <w:sz w:val="28"/>
        </w:rPr>
        <w:t xml:space="preserve"> Si definivano le reciproche aree di influenza in Persia; L’Inghilterra estendeva le sue aree di influenza in Afghanistan e nel Tibet.</w:t>
      </w:r>
      <w:r w:rsidR="009C69AD" w:rsidRPr="009C69AD">
        <w:t xml:space="preserve"> </w:t>
      </w:r>
      <w:r w:rsidR="009C69AD">
        <w:rPr>
          <w:noProof/>
        </w:rPr>
        <w:drawing>
          <wp:inline distT="0" distB="0" distL="0" distR="0">
            <wp:extent cx="3510001" cy="3045349"/>
            <wp:effectExtent l="19050" t="0" r="0" b="0"/>
            <wp:docPr id="23" name="Immagine 406" descr="Risultati immagini per convenzione anglo-ru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descr="Risultati immagini per convenzione anglo-russa"/>
                    <pic:cNvPicPr>
                      <a:picLocks noChangeAspect="1" noChangeArrowheads="1"/>
                    </pic:cNvPicPr>
                  </pic:nvPicPr>
                  <pic:blipFill>
                    <a:blip r:embed="rId126"/>
                    <a:srcRect/>
                    <a:stretch>
                      <a:fillRect/>
                    </a:stretch>
                  </pic:blipFill>
                  <pic:spPr bwMode="auto">
                    <a:xfrm>
                      <a:off x="0" y="0"/>
                      <a:ext cx="3508745" cy="3044259"/>
                    </a:xfrm>
                    <a:prstGeom prst="rect">
                      <a:avLst/>
                    </a:prstGeom>
                    <a:noFill/>
                    <a:ln w="9525">
                      <a:noFill/>
                      <a:miter lim="800000"/>
                      <a:headEnd/>
                      <a:tailEnd/>
                    </a:ln>
                  </pic:spPr>
                </pic:pic>
              </a:graphicData>
            </a:graphic>
          </wp:inline>
        </w:drawing>
      </w:r>
      <w:r w:rsidR="009C69AD">
        <w:rPr>
          <w:noProof/>
        </w:rPr>
        <w:drawing>
          <wp:inline distT="0" distB="0" distL="0" distR="0">
            <wp:extent cx="2268460" cy="3037398"/>
            <wp:effectExtent l="19050" t="0" r="0" b="0"/>
            <wp:docPr id="409" name="Immagine 409" descr="Risultati immagini per convenzione anglo-ru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9" descr="Risultati immagini per convenzione anglo-russa"/>
                    <pic:cNvPicPr>
                      <a:picLocks noChangeAspect="1" noChangeArrowheads="1"/>
                    </pic:cNvPicPr>
                  </pic:nvPicPr>
                  <pic:blipFill>
                    <a:blip r:embed="rId127"/>
                    <a:srcRect/>
                    <a:stretch>
                      <a:fillRect/>
                    </a:stretch>
                  </pic:blipFill>
                  <pic:spPr bwMode="auto">
                    <a:xfrm>
                      <a:off x="0" y="0"/>
                      <a:ext cx="2269413" cy="3038674"/>
                    </a:xfrm>
                    <a:prstGeom prst="rect">
                      <a:avLst/>
                    </a:prstGeom>
                    <a:noFill/>
                    <a:ln w="9525">
                      <a:noFill/>
                      <a:miter lim="800000"/>
                      <a:headEnd/>
                      <a:tailEnd/>
                    </a:ln>
                  </pic:spPr>
                </pic:pic>
              </a:graphicData>
            </a:graphic>
          </wp:inline>
        </w:drawing>
      </w:r>
    </w:p>
    <w:p w:rsidR="003D297F" w:rsidRDefault="003D297F" w:rsidP="000B2651">
      <w:pPr>
        <w:jc w:val="both"/>
        <w:rPr>
          <w:sz w:val="28"/>
        </w:rPr>
      </w:pPr>
      <w:r>
        <w:rPr>
          <w:sz w:val="28"/>
        </w:rPr>
        <w:t>L’Entente Cordiale (“intesa amichevole”) del 1904 fra Francia e Inghilterra, l’Accordo franco-russo del 1893-94, la Convenzione anglo-russa del 1907 diedero vita alla Triplice Intesa anglo-franco-russa, opposta alla coalizione degli Imperi centrali durante la 1° Guerra Mondiale.</w:t>
      </w:r>
    </w:p>
    <w:p w:rsidR="00AE27E2" w:rsidRDefault="00AE27E2" w:rsidP="000B2651">
      <w:pPr>
        <w:jc w:val="both"/>
      </w:pPr>
      <w:r>
        <w:rPr>
          <w:noProof/>
        </w:rPr>
        <w:drawing>
          <wp:inline distT="0" distB="0" distL="0" distR="0">
            <wp:extent cx="1777595" cy="2381797"/>
            <wp:effectExtent l="19050" t="0" r="0" b="0"/>
            <wp:docPr id="373" name="Immagine 373" descr="Risultati immagini per triplice inte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3" descr="Risultati immagini per triplice intesa"/>
                    <pic:cNvPicPr>
                      <a:picLocks noChangeAspect="1" noChangeArrowheads="1"/>
                    </pic:cNvPicPr>
                  </pic:nvPicPr>
                  <pic:blipFill>
                    <a:blip r:embed="rId128"/>
                    <a:srcRect/>
                    <a:stretch>
                      <a:fillRect/>
                    </a:stretch>
                  </pic:blipFill>
                  <pic:spPr bwMode="auto">
                    <a:xfrm>
                      <a:off x="0" y="0"/>
                      <a:ext cx="1783592" cy="2389833"/>
                    </a:xfrm>
                    <a:prstGeom prst="rect">
                      <a:avLst/>
                    </a:prstGeom>
                    <a:noFill/>
                    <a:ln w="9525">
                      <a:noFill/>
                      <a:miter lim="800000"/>
                      <a:headEnd/>
                      <a:tailEnd/>
                    </a:ln>
                  </pic:spPr>
                </pic:pic>
              </a:graphicData>
            </a:graphic>
          </wp:inline>
        </w:drawing>
      </w:r>
      <w:r>
        <w:rPr>
          <w:rStyle w:val="Rimandonotaapidipagina"/>
          <w:sz w:val="28"/>
        </w:rPr>
        <w:footnoteReference w:id="40"/>
      </w:r>
      <w:r w:rsidRPr="00AE27E2">
        <w:t xml:space="preserve"> </w:t>
      </w:r>
      <w:r>
        <w:rPr>
          <w:noProof/>
        </w:rPr>
        <w:drawing>
          <wp:inline distT="0" distB="0" distL="0" distR="0">
            <wp:extent cx="2978592" cy="2382874"/>
            <wp:effectExtent l="19050" t="0" r="0" b="0"/>
            <wp:docPr id="376" name="Immagine 376" descr="Risultati immagini per triplice alleanz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6" descr="Risultati immagini per triplice alleanza"/>
                    <pic:cNvPicPr>
                      <a:picLocks noChangeAspect="1" noChangeArrowheads="1"/>
                    </pic:cNvPicPr>
                  </pic:nvPicPr>
                  <pic:blipFill>
                    <a:blip r:embed="rId129"/>
                    <a:srcRect/>
                    <a:stretch>
                      <a:fillRect/>
                    </a:stretch>
                  </pic:blipFill>
                  <pic:spPr bwMode="auto">
                    <a:xfrm>
                      <a:off x="0" y="0"/>
                      <a:ext cx="2986051" cy="2388841"/>
                    </a:xfrm>
                    <a:prstGeom prst="rect">
                      <a:avLst/>
                    </a:prstGeom>
                    <a:noFill/>
                    <a:ln w="9525">
                      <a:noFill/>
                      <a:miter lim="800000"/>
                      <a:headEnd/>
                      <a:tailEnd/>
                    </a:ln>
                  </pic:spPr>
                </pic:pic>
              </a:graphicData>
            </a:graphic>
          </wp:inline>
        </w:drawing>
      </w:r>
    </w:p>
    <w:p w:rsidR="00E650B5" w:rsidRDefault="003D297F" w:rsidP="000B2651">
      <w:pPr>
        <w:jc w:val="both"/>
        <w:rPr>
          <w:sz w:val="28"/>
        </w:rPr>
      </w:pPr>
      <w:r>
        <w:rPr>
          <w:sz w:val="28"/>
        </w:rPr>
        <w:lastRenderedPageBreak/>
        <w:t>La sconfitta in Estremo Oriente e gli accordi con gli Inglesi in Asia ebbero un effetto decisivo: lo spostamento del baricentro della politica estera russa verso l’Europa e precisamente nei Balcani.</w:t>
      </w:r>
      <w:r w:rsidR="00E922C1">
        <w:rPr>
          <w:sz w:val="28"/>
        </w:rPr>
        <w:t xml:space="preserve"> I Ministri degli Esteri (Aleksandr Izvolskij fino 1910, Segej Sazonov poi) erano intenti a contrastare l’Austria-Ungheria nell’area dei Balcani, a sfruttare le debolezze della Turchia e imporre condizioni favorevoli all’accesso sugli Stretti e sui Dardanelli.</w:t>
      </w:r>
    </w:p>
    <w:p w:rsidR="00E922C1" w:rsidRDefault="00E922C1" w:rsidP="000B2651">
      <w:pPr>
        <w:jc w:val="both"/>
        <w:rPr>
          <w:sz w:val="28"/>
        </w:rPr>
      </w:pPr>
      <w:r>
        <w:rPr>
          <w:sz w:val="28"/>
        </w:rPr>
        <w:t>L’equilibrio fra Austra-Ungheria e La Russia si era già rotto dal 1885 con la Crisi Bulgara e ora si acuiva di più, anche perché gli slavi meridionali erano perseguitati dai serbi.</w:t>
      </w:r>
    </w:p>
    <w:p w:rsidR="00E922C1" w:rsidRDefault="00E922C1" w:rsidP="000B2651">
      <w:pPr>
        <w:jc w:val="both"/>
        <w:rPr>
          <w:sz w:val="28"/>
        </w:rPr>
      </w:pPr>
      <w:r>
        <w:rPr>
          <w:sz w:val="28"/>
        </w:rPr>
        <w:t>Sia i vertici dello Stato e sia l’opinione pubblica erano favorevoli alle politiche estere: la maggiore minaccia era il pangermanesimo. Questo progetto era sentito come un tentativo di sottomissione degli slavi sia dal punto di vista militare che economico. Il pangermanesimo trovava spazio sulla pubblicistica con il terrore della direttrice Balcani-Mar Nero-Medio Oriente.</w:t>
      </w:r>
    </w:p>
    <w:p w:rsidR="00E922C1" w:rsidRDefault="00E922C1" w:rsidP="000B2651">
      <w:pPr>
        <w:jc w:val="both"/>
        <w:rPr>
          <w:sz w:val="28"/>
        </w:rPr>
      </w:pPr>
      <w:r>
        <w:rPr>
          <w:sz w:val="28"/>
        </w:rPr>
        <w:t xml:space="preserve">Tutto questo alimentò il panslavismo russo (Lega per la reciprocità slava nel 1908). Il revival del panslavismo ottocentesco aveva due novità: </w:t>
      </w:r>
    </w:p>
    <w:p w:rsidR="00E922C1" w:rsidRDefault="00E922C1" w:rsidP="000B2651">
      <w:pPr>
        <w:pStyle w:val="Paragrafoelenco"/>
        <w:numPr>
          <w:ilvl w:val="0"/>
          <w:numId w:val="37"/>
        </w:numPr>
        <w:jc w:val="both"/>
        <w:rPr>
          <w:sz w:val="28"/>
        </w:rPr>
      </w:pPr>
      <w:r>
        <w:rPr>
          <w:sz w:val="28"/>
        </w:rPr>
        <w:t>C</w:t>
      </w:r>
      <w:r w:rsidRPr="00E922C1">
        <w:rPr>
          <w:sz w:val="28"/>
        </w:rPr>
        <w:t>ontrastare turchi e soprattutto la germanizzazione nei Balcani, in Turchia, in Europa centro-orientale e meridionale</w:t>
      </w:r>
      <w:r>
        <w:rPr>
          <w:sz w:val="28"/>
        </w:rPr>
        <w:t>;</w:t>
      </w:r>
    </w:p>
    <w:p w:rsidR="00E922C1" w:rsidRDefault="00E922C1" w:rsidP="000B2651">
      <w:pPr>
        <w:pStyle w:val="Paragrafoelenco"/>
        <w:numPr>
          <w:ilvl w:val="0"/>
          <w:numId w:val="37"/>
        </w:numPr>
        <w:jc w:val="both"/>
        <w:rPr>
          <w:sz w:val="28"/>
        </w:rPr>
      </w:pPr>
      <w:r>
        <w:rPr>
          <w:sz w:val="28"/>
        </w:rPr>
        <w:t xml:space="preserve">Maggiore sensibilità con le nazioni slave interne all’Impero zarista, soprattutto con i Polacchi. </w:t>
      </w:r>
      <w:r w:rsidRPr="00E922C1">
        <w:rPr>
          <w:sz w:val="28"/>
        </w:rPr>
        <w:t>Il rapporto con i Polacchi era precipuo per la sicurezza del fronte occidentale dell’Impero zarista e il successo contro i tedeschi</w:t>
      </w:r>
    </w:p>
    <w:p w:rsidR="00E922C1" w:rsidRDefault="00231A65" w:rsidP="000B2651">
      <w:pPr>
        <w:jc w:val="both"/>
        <w:rPr>
          <w:sz w:val="28"/>
        </w:rPr>
      </w:pPr>
      <w:r>
        <w:rPr>
          <w:sz w:val="28"/>
        </w:rPr>
        <w:t>Moderati e democratici, ma non socialisti, spingevano al riarmo militare. Gli ottobristi volevano dare più finanziamenti alle spese militari. I cadetti (sia Struve e Miljukov) volevano l’accesso ai Dardanelli ed sosten</w:t>
      </w:r>
      <w:r w:rsidR="00E650B5">
        <w:rPr>
          <w:sz w:val="28"/>
        </w:rPr>
        <w:t>e</w:t>
      </w:r>
      <w:r>
        <w:rPr>
          <w:sz w:val="28"/>
        </w:rPr>
        <w:t>vano le alleanze con le democrazie occidentali, così poteva permettere il passaggio dello zarismo in democrazia.</w:t>
      </w:r>
    </w:p>
    <w:p w:rsidR="00231A65" w:rsidRDefault="00231A65" w:rsidP="000B2651">
      <w:pPr>
        <w:jc w:val="both"/>
        <w:rPr>
          <w:sz w:val="28"/>
        </w:rPr>
      </w:pPr>
      <w:r>
        <w:rPr>
          <w:sz w:val="28"/>
        </w:rPr>
        <w:t xml:space="preserve">Nel 1908 la rivoluzione dei giovani turchi aprì nuovi scenari. Izvolskij, agendo di propria iniziativa, stipulò un accordo con il Ministro degli Esteri austriaco, Alois Lexa von Aehrenthal: </w:t>
      </w:r>
    </w:p>
    <w:p w:rsidR="00231A65" w:rsidRDefault="00231A65" w:rsidP="000B2651">
      <w:pPr>
        <w:pStyle w:val="Paragrafoelenco"/>
        <w:numPr>
          <w:ilvl w:val="0"/>
          <w:numId w:val="38"/>
        </w:numPr>
        <w:jc w:val="both"/>
        <w:rPr>
          <w:sz w:val="28"/>
        </w:rPr>
      </w:pPr>
      <w:r>
        <w:rPr>
          <w:sz w:val="28"/>
        </w:rPr>
        <w:t>Impero asburgico annetteva la Bosnia-Erzegovina</w:t>
      </w:r>
    </w:p>
    <w:p w:rsidR="00231A65" w:rsidRDefault="00231A65" w:rsidP="000B2651">
      <w:pPr>
        <w:pStyle w:val="Paragrafoelenco"/>
        <w:numPr>
          <w:ilvl w:val="0"/>
          <w:numId w:val="38"/>
        </w:numPr>
        <w:jc w:val="both"/>
        <w:rPr>
          <w:sz w:val="28"/>
        </w:rPr>
      </w:pPr>
      <w:r>
        <w:rPr>
          <w:sz w:val="28"/>
        </w:rPr>
        <w:t>La Russia accedeva ai Dardanelli</w:t>
      </w:r>
    </w:p>
    <w:p w:rsidR="00231A65" w:rsidRDefault="00231A65" w:rsidP="000B2651">
      <w:pPr>
        <w:jc w:val="both"/>
        <w:rPr>
          <w:sz w:val="28"/>
        </w:rPr>
      </w:pPr>
      <w:r>
        <w:rPr>
          <w:sz w:val="28"/>
        </w:rPr>
        <w:lastRenderedPageBreak/>
        <w:t>Ma l’accesso ai Dardanelli fu negato dall’Inghilterra, mentre, l’Austria aveva già occupato la Bosnia-Erzegovina. La Russia non voleva accettare più gli accordi, ma la Germania si impose nel rispetto del trattato. La sconfitta diplomatica fu cocente e umiliante e l’opinione pubblica la criticava. L’Impero Zarista dimostrava di essere debole militarmente e non voleva rischiare una guerra separata con la Germania. Stolyin raccomandava sempre prudenza e divenne furioso per le manovre sconsiderate di Izvolskij. Secondo Asher se fosse ancora vissuto Stolypin avrebbe convinto lo zar a non accettare l’ingresso in guerra.</w:t>
      </w:r>
    </w:p>
    <w:p w:rsidR="002C16C3" w:rsidRDefault="002C16C3" w:rsidP="000B2651">
      <w:pPr>
        <w:jc w:val="both"/>
        <w:rPr>
          <w:sz w:val="28"/>
        </w:rPr>
      </w:pPr>
      <w:r>
        <w:rPr>
          <w:noProof/>
        </w:rPr>
        <w:drawing>
          <wp:inline distT="0" distB="0" distL="0" distR="0">
            <wp:extent cx="5904671" cy="3440036"/>
            <wp:effectExtent l="19050" t="0" r="829" b="0"/>
            <wp:docPr id="412" name="Immagine 412" descr="https://upload.wikimedia.org/wikipedia/commons/7/71/Austria-hungar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2" descr="https://upload.wikimedia.org/wikipedia/commons/7/71/Austria-hungary.png"/>
                    <pic:cNvPicPr>
                      <a:picLocks noChangeAspect="1" noChangeArrowheads="1"/>
                    </pic:cNvPicPr>
                  </pic:nvPicPr>
                  <pic:blipFill>
                    <a:blip r:embed="rId130"/>
                    <a:srcRect/>
                    <a:stretch>
                      <a:fillRect/>
                    </a:stretch>
                  </pic:blipFill>
                  <pic:spPr bwMode="auto">
                    <a:xfrm>
                      <a:off x="0" y="0"/>
                      <a:ext cx="5914014" cy="3445479"/>
                    </a:xfrm>
                    <a:prstGeom prst="rect">
                      <a:avLst/>
                    </a:prstGeom>
                    <a:noFill/>
                    <a:ln w="9525">
                      <a:noFill/>
                      <a:miter lim="800000"/>
                      <a:headEnd/>
                      <a:tailEnd/>
                    </a:ln>
                  </pic:spPr>
                </pic:pic>
              </a:graphicData>
            </a:graphic>
          </wp:inline>
        </w:drawing>
      </w:r>
      <w:r>
        <w:rPr>
          <w:rStyle w:val="Rimandonotaapidipagina"/>
          <w:sz w:val="28"/>
        </w:rPr>
        <w:footnoteReference w:id="41"/>
      </w:r>
    </w:p>
    <w:p w:rsidR="00231A65" w:rsidRDefault="00231A65" w:rsidP="000B2651">
      <w:pPr>
        <w:jc w:val="both"/>
        <w:rPr>
          <w:sz w:val="28"/>
        </w:rPr>
      </w:pPr>
      <w:r>
        <w:rPr>
          <w:sz w:val="28"/>
        </w:rPr>
        <w:t>La Germania penetrò enormemente nei Balcani e nell’Impero ottomano. Cospicui erano gli investimenti della Germania nell’area. Nel 1908 fu costruita la ferrovia Berlino-Baghdad. Nel 1913 un generale tedesco divenne capo delle forze turche a Costantinopoli. La Russia riuscì ad ottenere la revoca. I timori di un possibile controllo dei Dardanelli da parte degli Imperi centrali si materializzò. La guerra sembrava alle porte.</w:t>
      </w:r>
      <w:r w:rsidR="001F5AB2">
        <w:rPr>
          <w:sz w:val="28"/>
        </w:rPr>
        <w:t xml:space="preserve"> Ma al tempo stesso molti sapevano che la Russia non era in grado di affrontare il conflitto.</w:t>
      </w:r>
    </w:p>
    <w:p w:rsidR="002C16C3" w:rsidRDefault="002C16C3" w:rsidP="000B2651">
      <w:pPr>
        <w:jc w:val="both"/>
        <w:rPr>
          <w:sz w:val="28"/>
        </w:rPr>
      </w:pPr>
      <w:r>
        <w:rPr>
          <w:noProof/>
        </w:rPr>
        <w:lastRenderedPageBreak/>
        <w:drawing>
          <wp:inline distT="0" distB="0" distL="0" distR="0">
            <wp:extent cx="5538602" cy="8132871"/>
            <wp:effectExtent l="19050" t="0" r="4948" b="0"/>
            <wp:docPr id="415" name="Immagine 415" descr="File:I balcani nel 19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File:I balcani nel 1905.png"/>
                    <pic:cNvPicPr>
                      <a:picLocks noChangeAspect="1" noChangeArrowheads="1"/>
                    </pic:cNvPicPr>
                  </pic:nvPicPr>
                  <pic:blipFill>
                    <a:blip r:embed="rId131"/>
                    <a:srcRect/>
                    <a:stretch>
                      <a:fillRect/>
                    </a:stretch>
                  </pic:blipFill>
                  <pic:spPr bwMode="auto">
                    <a:xfrm>
                      <a:off x="0" y="0"/>
                      <a:ext cx="5535939" cy="8128961"/>
                    </a:xfrm>
                    <a:prstGeom prst="rect">
                      <a:avLst/>
                    </a:prstGeom>
                    <a:noFill/>
                    <a:ln w="9525">
                      <a:noFill/>
                      <a:miter lim="800000"/>
                      <a:headEnd/>
                      <a:tailEnd/>
                    </a:ln>
                  </pic:spPr>
                </pic:pic>
              </a:graphicData>
            </a:graphic>
          </wp:inline>
        </w:drawing>
      </w:r>
      <w:r w:rsidR="004713D8" w:rsidRPr="004713D8">
        <w:t xml:space="preserve"> </w:t>
      </w:r>
      <w:r w:rsidR="004713D8">
        <w:rPr>
          <w:noProof/>
        </w:rPr>
        <w:lastRenderedPageBreak/>
        <w:drawing>
          <wp:inline distT="0" distB="0" distL="0" distR="0">
            <wp:extent cx="6096742" cy="8918369"/>
            <wp:effectExtent l="19050" t="0" r="0" b="0"/>
            <wp:docPr id="418" name="Immagine 418" descr="https://upload.wikimedia.org/wikipedia/commons/0/09/Guerre_balcanich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8" descr="https://upload.wikimedia.org/wikipedia/commons/0/09/Guerre_balcaniche.png"/>
                    <pic:cNvPicPr>
                      <a:picLocks noChangeAspect="1" noChangeArrowheads="1"/>
                    </pic:cNvPicPr>
                  </pic:nvPicPr>
                  <pic:blipFill>
                    <a:blip r:embed="rId132"/>
                    <a:srcRect/>
                    <a:stretch>
                      <a:fillRect/>
                    </a:stretch>
                  </pic:blipFill>
                  <pic:spPr bwMode="auto">
                    <a:xfrm>
                      <a:off x="0" y="0"/>
                      <a:ext cx="6099984" cy="8923112"/>
                    </a:xfrm>
                    <a:prstGeom prst="rect">
                      <a:avLst/>
                    </a:prstGeom>
                    <a:noFill/>
                    <a:ln w="9525">
                      <a:noFill/>
                      <a:miter lim="800000"/>
                      <a:headEnd/>
                      <a:tailEnd/>
                    </a:ln>
                  </pic:spPr>
                </pic:pic>
              </a:graphicData>
            </a:graphic>
          </wp:inline>
        </w:drawing>
      </w:r>
    </w:p>
    <w:p w:rsidR="001F5AB2" w:rsidRDefault="001F5AB2" w:rsidP="000B2651">
      <w:pPr>
        <w:jc w:val="both"/>
        <w:rPr>
          <w:sz w:val="28"/>
        </w:rPr>
      </w:pPr>
      <w:r>
        <w:rPr>
          <w:sz w:val="28"/>
        </w:rPr>
        <w:lastRenderedPageBreak/>
        <w:t>Inoltre la situazione nei Balcani era precipitata:</w:t>
      </w:r>
    </w:p>
    <w:p w:rsidR="00231A65" w:rsidRDefault="001F5AB2" w:rsidP="000B2651">
      <w:pPr>
        <w:jc w:val="both"/>
        <w:rPr>
          <w:sz w:val="28"/>
        </w:rPr>
      </w:pPr>
      <w:r>
        <w:rPr>
          <w:noProof/>
          <w:sz w:val="28"/>
        </w:rPr>
        <w:drawing>
          <wp:inline distT="0" distB="0" distL="0" distR="0">
            <wp:extent cx="5947575" cy="2576223"/>
            <wp:effectExtent l="38100" t="0" r="15075" b="109827"/>
            <wp:docPr id="24" name="Diagramma 2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3" r:lo="rId134" r:qs="rId135" r:cs="rId136"/>
              </a:graphicData>
            </a:graphic>
          </wp:inline>
        </w:drawing>
      </w:r>
    </w:p>
    <w:p w:rsidR="001F5AB2" w:rsidRDefault="001F5AB2" w:rsidP="000B2651">
      <w:pPr>
        <w:jc w:val="both"/>
        <w:rPr>
          <w:sz w:val="28"/>
        </w:rPr>
      </w:pPr>
      <w:r>
        <w:rPr>
          <w:sz w:val="28"/>
        </w:rPr>
        <w:t>I Russi non consentirono alla Bulgaria di conquistare Costantinopoli durante la 1° Guerra Balcanica. Durante la 2° Guerra Balcanica, la Russia non aiutò la Bulgaria. La Bulgaria uscì definitivamente dall’orbita russa. L’Impero si alleò con la Serbia per conservare un’influenza sui Balcani.</w:t>
      </w:r>
    </w:p>
    <w:p w:rsidR="001F5AB2" w:rsidRDefault="001F5AB2" w:rsidP="000B2651">
      <w:pPr>
        <w:jc w:val="both"/>
        <w:rPr>
          <w:sz w:val="28"/>
        </w:rPr>
      </w:pPr>
      <w:r>
        <w:rPr>
          <w:sz w:val="28"/>
        </w:rPr>
        <w:t>Il 1912 fu annunciato a San Pietroburgo il lancio di un programma militare di riarmo. Rimase più sulla carta poiché doveva essere avviato nel 1914 e completato nel 1917. La Germania affrettò l’inizio del conflitto, qualora si presentasse l’occasione.</w:t>
      </w:r>
    </w:p>
    <w:p w:rsidR="00E74CB9" w:rsidRDefault="00E74CB9" w:rsidP="000B2651">
      <w:pPr>
        <w:pStyle w:val="Titolo1"/>
        <w:jc w:val="both"/>
      </w:pPr>
      <w:bookmarkStart w:id="25" w:name="_Toc493625450"/>
      <w:r>
        <w:t>5° Capitolo: La 1° Guerra Mondiale</w:t>
      </w:r>
      <w:bookmarkEnd w:id="25"/>
    </w:p>
    <w:p w:rsidR="00E74CB9" w:rsidRDefault="00E74CB9" w:rsidP="000B2651">
      <w:pPr>
        <w:pStyle w:val="Titolo2"/>
        <w:jc w:val="both"/>
        <w:rPr>
          <w:sz w:val="28"/>
        </w:rPr>
      </w:pPr>
      <w:bookmarkStart w:id="26" w:name="_Toc493625451"/>
      <w:r>
        <w:rPr>
          <w:sz w:val="28"/>
        </w:rPr>
        <w:t>La mobilitazione totale</w:t>
      </w:r>
      <w:bookmarkEnd w:id="26"/>
    </w:p>
    <w:p w:rsidR="00E74CB9" w:rsidRDefault="00E74CB9" w:rsidP="000B2651">
      <w:pPr>
        <w:jc w:val="both"/>
        <w:rPr>
          <w:sz w:val="28"/>
        </w:rPr>
      </w:pPr>
      <w:r>
        <w:rPr>
          <w:sz w:val="28"/>
        </w:rPr>
        <w:t>La 1° Guerra Mondiale fu decisiva per il destino dello zarismo. La storiografia passata riteneva la Russia post 1905 avviata un processo di occidentalizzazione e di riforme. Ma la storiografia recente individua la guerra come fattore catalizzatore della stessa caduta del regime zarista. Sarà il periodo di adozione di pratiche amministrative e di governo d</w:t>
      </w:r>
      <w:r w:rsidR="008F2688">
        <w:rPr>
          <w:sz w:val="28"/>
        </w:rPr>
        <w:t>i spiccato di</w:t>
      </w:r>
      <w:r>
        <w:rPr>
          <w:sz w:val="28"/>
        </w:rPr>
        <w:t>rigismo</w:t>
      </w:r>
      <w:r w:rsidR="008F2688">
        <w:rPr>
          <w:sz w:val="28"/>
        </w:rPr>
        <w:t>,  “militarizzazione” di ogni esperienza collettiva, individuazione della sola potenza innovativa dello Sato contro una società ritenuta arcaica. Queste saranno le caratteristiche prima e dopo la 1° Guerra Mondiale.</w:t>
      </w:r>
    </w:p>
    <w:p w:rsidR="008F2688" w:rsidRDefault="008F2688" w:rsidP="000B2651">
      <w:pPr>
        <w:jc w:val="both"/>
        <w:rPr>
          <w:sz w:val="28"/>
        </w:rPr>
      </w:pPr>
      <w:r>
        <w:rPr>
          <w:sz w:val="28"/>
        </w:rPr>
        <w:t>L’impero Zarista è sempre più pervasivo nel dirigismo della società e dell’economia. Durante gli anni di guerra si forma un vasto complesso parasta taka:</w:t>
      </w:r>
    </w:p>
    <w:p w:rsidR="008F2688" w:rsidRDefault="008F2688" w:rsidP="000B2651">
      <w:pPr>
        <w:pStyle w:val="Paragrafoelenco"/>
        <w:numPr>
          <w:ilvl w:val="0"/>
          <w:numId w:val="39"/>
        </w:numPr>
        <w:jc w:val="both"/>
        <w:rPr>
          <w:sz w:val="28"/>
        </w:rPr>
      </w:pPr>
      <w:r>
        <w:rPr>
          <w:sz w:val="28"/>
        </w:rPr>
        <w:t>Intreccio fra organizzazioni civili e amministrazione pubblica</w:t>
      </w:r>
    </w:p>
    <w:p w:rsidR="008F2688" w:rsidRDefault="008F2688" w:rsidP="000B2651">
      <w:pPr>
        <w:pStyle w:val="Paragrafoelenco"/>
        <w:numPr>
          <w:ilvl w:val="0"/>
          <w:numId w:val="39"/>
        </w:numPr>
        <w:jc w:val="both"/>
        <w:rPr>
          <w:sz w:val="28"/>
        </w:rPr>
      </w:pPr>
      <w:r>
        <w:rPr>
          <w:sz w:val="28"/>
        </w:rPr>
        <w:lastRenderedPageBreak/>
        <w:t>Intreccio fra industrie di rifornimento bellico e distribuzione dei suppellettili e delle riserve energetiche con l’amministrazione pubblica</w:t>
      </w:r>
    </w:p>
    <w:p w:rsidR="008F2688" w:rsidRDefault="008F2688" w:rsidP="000B2651">
      <w:pPr>
        <w:jc w:val="both"/>
        <w:rPr>
          <w:sz w:val="28"/>
        </w:rPr>
      </w:pPr>
      <w:r>
        <w:rPr>
          <w:sz w:val="28"/>
        </w:rPr>
        <w:t>Queste istituzioni nel periodo pre-guerra erano state sempre limitate vista la pericolosità dell’auto-organizzazione. Ora si imponeva la priorità del conflitto, la “militarizzazione” della società civile manovrata. Lo Stato assumeva tratti pienamente dirigisti, ad esempio la distribuzione grano anche da parte del Governo provvisorio e da parte del regime bolscevico.</w:t>
      </w:r>
    </w:p>
    <w:p w:rsidR="008F2688" w:rsidRDefault="008F2688" w:rsidP="000B2651">
      <w:pPr>
        <w:jc w:val="both"/>
        <w:rPr>
          <w:sz w:val="28"/>
        </w:rPr>
      </w:pPr>
      <w:r>
        <w:rPr>
          <w:sz w:val="28"/>
        </w:rPr>
        <w:t>Altro “</w:t>
      </w:r>
      <w:r>
        <w:rPr>
          <w:i/>
          <w:sz w:val="28"/>
        </w:rPr>
        <w:t>turning point</w:t>
      </w:r>
      <w:r>
        <w:rPr>
          <w:sz w:val="28"/>
        </w:rPr>
        <w:t>” della storia russa fu l’accelerazione dei processi di nazionalizzazione. La mobilitazione totale e l’abolizione di categorie di cittadini esentati dalla leva darà vita alla classificazione di tipo nazionale moderno della popolazione, basata su etnicità e classe, che subentra a quella tradizionale, imperniata su ceto e religione. L’implicazione è davvero rilevante siccome l’Impero aveva una composizione multietnica. Con ciò si cercava di rafforzare l’elemento nazionale russo nelle periferie, dato che questo sentimento era davvero basso. Importantissima sarà l’esperienza di morte di massa dei cittadini-soldati</w:t>
      </w:r>
      <w:r w:rsidR="00E16CAE">
        <w:rPr>
          <w:sz w:val="28"/>
        </w:rPr>
        <w:t>.</w:t>
      </w:r>
    </w:p>
    <w:p w:rsidR="00E16CAE" w:rsidRDefault="00E16CAE" w:rsidP="000B2651">
      <w:pPr>
        <w:jc w:val="both"/>
        <w:rPr>
          <w:sz w:val="28"/>
        </w:rPr>
      </w:pPr>
      <w:r>
        <w:rPr>
          <w:sz w:val="28"/>
        </w:rPr>
        <w:t>Il nazionalismo russo si diversifica negli anni di guerra. Le nazionalità interne all’impero sono controllate, manipolate ed escluse, in quanto ritenute “nemico interno”. Si procede all’internamento, alla privazione di beni e deportazioni. I gruppi etnici dell’Impero ritenuti inaffidabili si assimilano al nemico. Questi erano tedeschi, ebrei, zingari, tartari della Crimea, musulmani, e l’</w:t>
      </w:r>
      <w:r w:rsidRPr="00E16CAE">
        <w:rPr>
          <w:i/>
          <w:sz w:val="28"/>
        </w:rPr>
        <w:t>intelligencija</w:t>
      </w:r>
      <w:r>
        <w:rPr>
          <w:sz w:val="28"/>
        </w:rPr>
        <w:t xml:space="preserve"> ucraina, polacca, baltica.</w:t>
      </w:r>
    </w:p>
    <w:p w:rsidR="00E16CAE" w:rsidRDefault="00E16CAE" w:rsidP="000B2651">
      <w:pPr>
        <w:jc w:val="both"/>
        <w:rPr>
          <w:sz w:val="28"/>
        </w:rPr>
      </w:pPr>
      <w:r>
        <w:rPr>
          <w:sz w:val="28"/>
        </w:rPr>
        <w:t>Il turning point della rivoluzione è proprio il 1914: la Russia  è un “continuum” di crisi (guerra-rivoluzoine-guerra civile; 1914-1921)</w:t>
      </w:r>
    </w:p>
    <w:p w:rsidR="00E16CAE" w:rsidRDefault="00476451" w:rsidP="000B2651">
      <w:pPr>
        <w:pStyle w:val="Titolo2"/>
        <w:jc w:val="both"/>
        <w:rPr>
          <w:sz w:val="28"/>
        </w:rPr>
      </w:pPr>
      <w:bookmarkStart w:id="27" w:name="_Toc493625452"/>
      <w:r>
        <w:rPr>
          <w:sz w:val="28"/>
        </w:rPr>
        <w:t>Al fronte: le tappe salienti del conflitto fino all’autunno 1916</w:t>
      </w:r>
      <w:bookmarkEnd w:id="27"/>
    </w:p>
    <w:p w:rsidR="00476451" w:rsidRDefault="00476451" w:rsidP="000B2651">
      <w:pPr>
        <w:jc w:val="both"/>
        <w:rPr>
          <w:sz w:val="28"/>
        </w:rPr>
      </w:pPr>
      <w:r>
        <w:rPr>
          <w:sz w:val="28"/>
        </w:rPr>
        <w:t>La sconfitta con il Giappone aveva avviato un processo di riarmo bellico. Gli equilibri europei si mutarono. Prevalsero le spinte nazionaliste in tutti i paesi. I rapportino l’Austria-Ungheria e la Germania erano ai minimi storici. La Russia si era alleata con Francia e Inghilterra.</w:t>
      </w:r>
    </w:p>
    <w:p w:rsidR="00D8599F" w:rsidRDefault="00D8599F" w:rsidP="000B2651">
      <w:pPr>
        <w:jc w:val="both"/>
        <w:rPr>
          <w:sz w:val="28"/>
        </w:rPr>
      </w:pPr>
      <w:r>
        <w:rPr>
          <w:sz w:val="28"/>
        </w:rPr>
        <w:t>Molti hanno discusso sulle motivazioni dell’ingresso in guerra della Russia:</w:t>
      </w:r>
    </w:p>
    <w:p w:rsidR="00D8599F" w:rsidRDefault="00D8599F" w:rsidP="000B2651">
      <w:pPr>
        <w:pStyle w:val="Paragrafoelenco"/>
        <w:numPr>
          <w:ilvl w:val="0"/>
          <w:numId w:val="40"/>
        </w:numPr>
        <w:jc w:val="both"/>
        <w:rPr>
          <w:sz w:val="28"/>
        </w:rPr>
      </w:pPr>
      <w:r>
        <w:rPr>
          <w:sz w:val="28"/>
        </w:rPr>
        <w:t>Alcuni sostengono che fu decisiva la pressione degli Alleati, soprattutto della Francia (per la dipendenza economica dei capitali francesi)</w:t>
      </w:r>
    </w:p>
    <w:p w:rsidR="00D8599F" w:rsidRDefault="00D8599F" w:rsidP="000B2651">
      <w:pPr>
        <w:pStyle w:val="Paragrafoelenco"/>
        <w:numPr>
          <w:ilvl w:val="0"/>
          <w:numId w:val="40"/>
        </w:numPr>
        <w:jc w:val="both"/>
        <w:rPr>
          <w:sz w:val="28"/>
        </w:rPr>
      </w:pPr>
      <w:r>
        <w:rPr>
          <w:sz w:val="28"/>
        </w:rPr>
        <w:lastRenderedPageBreak/>
        <w:t>Altri sostengono che la Germania post-bismarckiana cercava il proprio spazio vitale ad Est, quindi a discapito dei territori russi. Quindi significava dare battaglia da soli oppure in alleanza con Francia e Inghilterra</w:t>
      </w:r>
    </w:p>
    <w:p w:rsidR="00BB5924" w:rsidRPr="00BB5924" w:rsidRDefault="00BB5924" w:rsidP="000B2651">
      <w:pPr>
        <w:jc w:val="both"/>
        <w:rPr>
          <w:sz w:val="28"/>
        </w:rPr>
      </w:pPr>
      <w:r>
        <w:rPr>
          <w:noProof/>
        </w:rPr>
        <w:drawing>
          <wp:inline distT="0" distB="0" distL="0" distR="0">
            <wp:extent cx="1861509" cy="2103479"/>
            <wp:effectExtent l="19050" t="0" r="5391" b="0"/>
            <wp:docPr id="421" name="Immagine 421" descr="File:DC-1914-27-d-Sarajevo-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File:DC-1914-27-d-Sarajevo-cropped.jpg"/>
                    <pic:cNvPicPr>
                      <a:picLocks noChangeAspect="1" noChangeArrowheads="1"/>
                    </pic:cNvPicPr>
                  </pic:nvPicPr>
                  <pic:blipFill>
                    <a:blip r:embed="rId137"/>
                    <a:srcRect/>
                    <a:stretch>
                      <a:fillRect/>
                    </a:stretch>
                  </pic:blipFill>
                  <pic:spPr bwMode="auto">
                    <a:xfrm>
                      <a:off x="0" y="0"/>
                      <a:ext cx="1861288" cy="2103229"/>
                    </a:xfrm>
                    <a:prstGeom prst="rect">
                      <a:avLst/>
                    </a:prstGeom>
                    <a:noFill/>
                    <a:ln w="9525">
                      <a:noFill/>
                      <a:miter lim="800000"/>
                      <a:headEnd/>
                      <a:tailEnd/>
                    </a:ln>
                  </pic:spPr>
                </pic:pic>
              </a:graphicData>
            </a:graphic>
          </wp:inline>
        </w:drawing>
      </w:r>
      <w:r>
        <w:rPr>
          <w:rStyle w:val="Rimandonotaapidipagina"/>
          <w:sz w:val="28"/>
        </w:rPr>
        <w:footnoteReference w:id="42"/>
      </w:r>
      <w:r w:rsidRPr="00BB5924">
        <w:t xml:space="preserve"> </w:t>
      </w:r>
      <w:r>
        <w:rPr>
          <w:noProof/>
        </w:rPr>
        <w:drawing>
          <wp:inline distT="0" distB="0" distL="0" distR="0">
            <wp:extent cx="1525079" cy="2104843"/>
            <wp:effectExtent l="19050" t="0" r="0" b="0"/>
            <wp:docPr id="424" name="Immagine 424"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Risultati immagini"/>
                    <pic:cNvPicPr>
                      <a:picLocks noChangeAspect="1" noChangeArrowheads="1"/>
                    </pic:cNvPicPr>
                  </pic:nvPicPr>
                  <pic:blipFill>
                    <a:blip r:embed="rId138"/>
                    <a:srcRect/>
                    <a:stretch>
                      <a:fillRect/>
                    </a:stretch>
                  </pic:blipFill>
                  <pic:spPr bwMode="auto">
                    <a:xfrm>
                      <a:off x="0" y="0"/>
                      <a:ext cx="1530410" cy="2112201"/>
                    </a:xfrm>
                    <a:prstGeom prst="rect">
                      <a:avLst/>
                    </a:prstGeom>
                    <a:noFill/>
                    <a:ln w="9525">
                      <a:noFill/>
                      <a:miter lim="800000"/>
                      <a:headEnd/>
                      <a:tailEnd/>
                    </a:ln>
                  </pic:spPr>
                </pic:pic>
              </a:graphicData>
            </a:graphic>
          </wp:inline>
        </w:drawing>
      </w:r>
      <w:r w:rsidR="00CF1EC6" w:rsidRPr="00CF1EC6">
        <w:t xml:space="preserve"> </w:t>
      </w:r>
      <w:r w:rsidR="00CF1EC6">
        <w:rPr>
          <w:noProof/>
        </w:rPr>
        <w:drawing>
          <wp:inline distT="0" distB="0" distL="0" distR="0">
            <wp:extent cx="2439479" cy="2104845"/>
            <wp:effectExtent l="19050" t="0" r="0" b="0"/>
            <wp:docPr id="427" name="Immagine 427" descr="File:Russian infantry 1914 railro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File:Russian infantry 1914 railroad.jpg"/>
                    <pic:cNvPicPr>
                      <a:picLocks noChangeAspect="1" noChangeArrowheads="1"/>
                    </pic:cNvPicPr>
                  </pic:nvPicPr>
                  <pic:blipFill>
                    <a:blip r:embed="rId139"/>
                    <a:srcRect/>
                    <a:stretch>
                      <a:fillRect/>
                    </a:stretch>
                  </pic:blipFill>
                  <pic:spPr bwMode="auto">
                    <a:xfrm>
                      <a:off x="0" y="0"/>
                      <a:ext cx="2444468" cy="2109150"/>
                    </a:xfrm>
                    <a:prstGeom prst="rect">
                      <a:avLst/>
                    </a:prstGeom>
                    <a:noFill/>
                    <a:ln w="9525">
                      <a:noFill/>
                      <a:miter lim="800000"/>
                      <a:headEnd/>
                      <a:tailEnd/>
                    </a:ln>
                  </pic:spPr>
                </pic:pic>
              </a:graphicData>
            </a:graphic>
          </wp:inline>
        </w:drawing>
      </w:r>
    </w:p>
    <w:p w:rsidR="00BB5924" w:rsidRDefault="00BB5924" w:rsidP="000B2651">
      <w:pPr>
        <w:jc w:val="both"/>
        <w:rPr>
          <w:sz w:val="28"/>
        </w:rPr>
      </w:pPr>
      <w:r>
        <w:rPr>
          <w:sz w:val="28"/>
        </w:rPr>
        <w:t>L’Austria dichiarò guerra alla Serbia, alleata della Russia. La Russia rispose con la mobilitazione totale. La Germania ne chiese la sospensione immediata. Il 1° Agosto la Germania dichiarò guerra alla Russia. Il 3° Agosto la Germania dichiarò guerra alla Francia.</w:t>
      </w:r>
    </w:p>
    <w:p w:rsidR="00BB5924" w:rsidRDefault="00BB5924" w:rsidP="000B2651">
      <w:pPr>
        <w:jc w:val="both"/>
        <w:rPr>
          <w:sz w:val="28"/>
        </w:rPr>
      </w:pPr>
      <w:r>
        <w:rPr>
          <w:sz w:val="28"/>
        </w:rPr>
        <w:t>La notizia dell’entrata in guerra fu accolta in Russia da un ondata di patriottismo. L presidente della Duma, l’ottobrista Rodzjanko, si dimise per favorire l’unità del paese attorno allo Zar. Il mondo politico, la società colta e le classi superiori erano consenzienti alla guerra. Anche il ceto basso cittadino mostrò coesione nazionale. Gli scioperi nel primo anno di guerra cessarono.</w:t>
      </w:r>
    </w:p>
    <w:p w:rsidR="00BB5924" w:rsidRDefault="00CF1EC6" w:rsidP="000B2651">
      <w:pPr>
        <w:jc w:val="both"/>
        <w:rPr>
          <w:sz w:val="28"/>
        </w:rPr>
      </w:pPr>
      <w:r>
        <w:rPr>
          <w:sz w:val="28"/>
        </w:rPr>
        <w:t>La Russia ancora non aveva finito il processo di riarmo (1917 era la scadenza), ma non fu impreparata. La mobilitazione generale si ebbe in soli 3 giorni, scompaginando il piano Schlieffen. I tedeschi ritenevano che la mobilitazione russa sarebbe durata 3 mesi e non 3 giorni.</w:t>
      </w:r>
    </w:p>
    <w:p w:rsidR="00CF1EC6" w:rsidRDefault="00CF1EC6" w:rsidP="000B2651">
      <w:pPr>
        <w:jc w:val="both"/>
        <w:rPr>
          <w:sz w:val="28"/>
        </w:rPr>
      </w:pPr>
      <w:r>
        <w:rPr>
          <w:sz w:val="28"/>
        </w:rPr>
        <w:t>Tutti pensavano a una guerra di breve durata</w:t>
      </w:r>
      <w:r>
        <w:rPr>
          <w:rStyle w:val="Rimandonotaapidipagina"/>
          <w:sz w:val="28"/>
        </w:rPr>
        <w:footnoteReference w:id="43"/>
      </w:r>
      <w:r>
        <w:rPr>
          <w:sz w:val="28"/>
        </w:rPr>
        <w:t xml:space="preserve">. Tutti pensavano a un modello di guerra “ottocentesca”. La 1° Guerra Mondiale fu una guerra totale, di logoramento: mise a dura prova l’organizzazione, il potenziale e le risorse di ogni stato coinvolto. </w:t>
      </w:r>
      <w:r>
        <w:rPr>
          <w:sz w:val="28"/>
        </w:rPr>
        <w:lastRenderedPageBreak/>
        <w:t>L’impero zarista era fragile nell’industria, nelle comunicazioni, nei trasporti, nel coordinamento burocratico, nel servizio di informazione.</w:t>
      </w:r>
    </w:p>
    <w:p w:rsidR="00006094" w:rsidRDefault="00006094" w:rsidP="000B2651">
      <w:pPr>
        <w:jc w:val="both"/>
        <w:rPr>
          <w:b/>
          <w:sz w:val="28"/>
        </w:rPr>
      </w:pPr>
      <w:r>
        <w:rPr>
          <w:b/>
          <w:sz w:val="28"/>
        </w:rPr>
        <w:t>Anno 1914:</w:t>
      </w:r>
    </w:p>
    <w:p w:rsidR="00006094" w:rsidRPr="00006094" w:rsidRDefault="00006094" w:rsidP="000B2651">
      <w:pPr>
        <w:jc w:val="both"/>
        <w:rPr>
          <w:sz w:val="28"/>
        </w:rPr>
      </w:pPr>
      <w:r>
        <w:rPr>
          <w:sz w:val="28"/>
        </w:rPr>
        <w:t>A causa delle pressioni della Francia, la Russia aprì anche il fronte tedesco. Il fronte era amplissimo dal Baltico al Mar Nero. Il precedente piano del 1909-10 di Michail Alekseev  prevedeva un attacco concentrato contro gli austriaci e poi la minaccia alla Germania passando per la Slesia.</w:t>
      </w:r>
    </w:p>
    <w:p w:rsidR="00006094" w:rsidRDefault="00006094" w:rsidP="000B2651">
      <w:pPr>
        <w:jc w:val="both"/>
      </w:pPr>
      <w:r>
        <w:rPr>
          <w:noProof/>
        </w:rPr>
        <w:drawing>
          <wp:inline distT="0" distB="0" distL="0" distR="0">
            <wp:extent cx="1863038" cy="1846053"/>
            <wp:effectExtent l="19050" t="0" r="3862" b="0"/>
            <wp:docPr id="430" name="Immagine 430" descr="Mikhail V. Alekse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descr="Mikhail V. Alekseev.jpg"/>
                    <pic:cNvPicPr>
                      <a:picLocks noChangeAspect="1" noChangeArrowheads="1"/>
                    </pic:cNvPicPr>
                  </pic:nvPicPr>
                  <pic:blipFill>
                    <a:blip r:embed="rId140"/>
                    <a:srcRect/>
                    <a:stretch>
                      <a:fillRect/>
                    </a:stretch>
                  </pic:blipFill>
                  <pic:spPr bwMode="auto">
                    <a:xfrm>
                      <a:off x="0" y="0"/>
                      <a:ext cx="1863923" cy="1846930"/>
                    </a:xfrm>
                    <a:prstGeom prst="rect">
                      <a:avLst/>
                    </a:prstGeom>
                    <a:noFill/>
                    <a:ln w="9525">
                      <a:noFill/>
                      <a:miter lim="800000"/>
                      <a:headEnd/>
                      <a:tailEnd/>
                    </a:ln>
                  </pic:spPr>
                </pic:pic>
              </a:graphicData>
            </a:graphic>
          </wp:inline>
        </w:drawing>
      </w:r>
      <w:r w:rsidRPr="00006094">
        <w:t xml:space="preserve"> </w:t>
      </w:r>
      <w:r>
        <w:rPr>
          <w:noProof/>
        </w:rPr>
        <w:drawing>
          <wp:inline distT="0" distB="0" distL="0" distR="0">
            <wp:extent cx="1180787" cy="1846053"/>
            <wp:effectExtent l="19050" t="0" r="313" b="0"/>
            <wp:docPr id="433" name="Immagine 433" descr="Risultati immagini per brusil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Risultati immagini per brusilov"/>
                    <pic:cNvPicPr>
                      <a:picLocks noChangeAspect="1" noChangeArrowheads="1"/>
                    </pic:cNvPicPr>
                  </pic:nvPicPr>
                  <pic:blipFill>
                    <a:blip r:embed="rId141" cstate="print"/>
                    <a:srcRect/>
                    <a:stretch>
                      <a:fillRect/>
                    </a:stretch>
                  </pic:blipFill>
                  <pic:spPr bwMode="auto">
                    <a:xfrm>
                      <a:off x="0" y="0"/>
                      <a:ext cx="1181411" cy="1847029"/>
                    </a:xfrm>
                    <a:prstGeom prst="rect">
                      <a:avLst/>
                    </a:prstGeom>
                    <a:noFill/>
                    <a:ln w="9525">
                      <a:noFill/>
                      <a:miter lim="800000"/>
                      <a:headEnd/>
                      <a:tailEnd/>
                    </a:ln>
                  </pic:spPr>
                </pic:pic>
              </a:graphicData>
            </a:graphic>
          </wp:inline>
        </w:drawing>
      </w:r>
      <w:r w:rsidRPr="00006094">
        <w:t xml:space="preserve"> </w:t>
      </w:r>
      <w:r>
        <w:rPr>
          <w:noProof/>
        </w:rPr>
        <w:drawing>
          <wp:inline distT="0" distB="0" distL="0" distR="0">
            <wp:extent cx="2836294" cy="1846053"/>
            <wp:effectExtent l="19050" t="0" r="2156" b="0"/>
            <wp:docPr id="439" name="Immagine 439" descr="https://upload.wikimedia.org/wikipedia/commons/7/7a/Russian_prisoners_tannenbe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9" descr="https://upload.wikimedia.org/wikipedia/commons/7/7a/Russian_prisoners_tannenberg.jpg"/>
                    <pic:cNvPicPr>
                      <a:picLocks noChangeAspect="1" noChangeArrowheads="1"/>
                    </pic:cNvPicPr>
                  </pic:nvPicPr>
                  <pic:blipFill>
                    <a:blip r:embed="rId142"/>
                    <a:srcRect/>
                    <a:stretch>
                      <a:fillRect/>
                    </a:stretch>
                  </pic:blipFill>
                  <pic:spPr bwMode="auto">
                    <a:xfrm>
                      <a:off x="0" y="0"/>
                      <a:ext cx="2853158" cy="1857029"/>
                    </a:xfrm>
                    <a:prstGeom prst="rect">
                      <a:avLst/>
                    </a:prstGeom>
                    <a:noFill/>
                    <a:ln w="9525">
                      <a:noFill/>
                      <a:miter lim="800000"/>
                      <a:headEnd/>
                      <a:tailEnd/>
                    </a:ln>
                  </pic:spPr>
                </pic:pic>
              </a:graphicData>
            </a:graphic>
          </wp:inline>
        </w:drawing>
      </w:r>
      <w:r w:rsidR="00D4313B">
        <w:rPr>
          <w:rStyle w:val="Rimandonotaapidipagina"/>
        </w:rPr>
        <w:footnoteReference w:id="44"/>
      </w:r>
    </w:p>
    <w:p w:rsidR="00006094" w:rsidRDefault="00006094" w:rsidP="000B2651">
      <w:pPr>
        <w:jc w:val="both"/>
        <w:rPr>
          <w:sz w:val="28"/>
        </w:rPr>
      </w:pPr>
      <w:r>
        <w:rPr>
          <w:sz w:val="28"/>
        </w:rPr>
        <w:t>Il generale Aleksej Brusilov sfondò in Galizia e in Bucovina contro gli Austriaci, si muoveva verso i Carpazi. Ma a Tanneberg e ai Laghi Masuri l’esercito russo abbandonò la Prussia orientale. La Russia arretrò già a Novembre a est di Lodz. La Polonia occidentali era in mano tedesca.</w:t>
      </w:r>
    </w:p>
    <w:p w:rsidR="00006094" w:rsidRDefault="00006094" w:rsidP="000B2651">
      <w:pPr>
        <w:jc w:val="both"/>
        <w:rPr>
          <w:sz w:val="28"/>
        </w:rPr>
      </w:pPr>
      <w:r>
        <w:rPr>
          <w:sz w:val="28"/>
        </w:rPr>
        <w:t>A Ottobre si era aperto anche il fronte nel Caucaso contro la Turchia.</w:t>
      </w:r>
    </w:p>
    <w:p w:rsidR="00D4313B" w:rsidRDefault="00D4313B" w:rsidP="000B2651">
      <w:pPr>
        <w:jc w:val="both"/>
        <w:rPr>
          <w:b/>
          <w:sz w:val="28"/>
        </w:rPr>
      </w:pPr>
      <w:r>
        <w:rPr>
          <w:b/>
          <w:sz w:val="28"/>
        </w:rPr>
        <w:t>1915:</w:t>
      </w:r>
    </w:p>
    <w:p w:rsidR="0037272A" w:rsidRDefault="00D4313B" w:rsidP="000B2651">
      <w:pPr>
        <w:jc w:val="both"/>
        <w:rPr>
          <w:sz w:val="28"/>
        </w:rPr>
      </w:pPr>
      <w:r>
        <w:rPr>
          <w:sz w:val="28"/>
        </w:rPr>
        <w:t>Nella primavera 1915 gli Imperi centrali lanciarono una massiccia offensiva sul fronte orientale. L’esercito russo era in crisi di approvvigionamenti e si ritirò disastrosamente. Gravissime furono le perdite, imponente il numero dei prigionieri. La Polonia centrale fu abbandonata. Il fronte si era ritirato: ora era dal golfo di Riga fino in Bessarabia.</w:t>
      </w:r>
    </w:p>
    <w:p w:rsidR="00D4313B" w:rsidRPr="0037272A" w:rsidRDefault="002624C2" w:rsidP="000B2651">
      <w:pPr>
        <w:jc w:val="both"/>
        <w:rPr>
          <w:rFonts w:cstheme="minorHAnsi"/>
          <w:sz w:val="40"/>
        </w:rPr>
      </w:pPr>
      <w:r w:rsidRPr="002624C2">
        <w:rPr>
          <w:noProof/>
          <w:sz w:val="28"/>
        </w:rPr>
        <w:lastRenderedPageBreak/>
        <w:pict>
          <v:shape id="_x0000_s1037" type="#_x0000_t13" style="position:absolute;left:0;text-align:left;margin-left:291.55pt;margin-top:213.55pt;width:87.65pt;height:32.55pt;z-index:251669504" fillcolor="red">
            <v:textbox>
              <w:txbxContent>
                <w:p w:rsidR="000B2651" w:rsidRDefault="000B2651">
                  <w:r>
                    <w:t>Dopo</w:t>
                  </w:r>
                </w:p>
              </w:txbxContent>
            </v:textbox>
          </v:shape>
        </w:pict>
      </w:r>
      <w:r w:rsidRPr="002624C2">
        <w:rPr>
          <w:noProof/>
          <w:sz w:val="28"/>
        </w:rPr>
        <w:pict>
          <v:shape id="_x0000_s1036" type="#_x0000_t13" style="position:absolute;left:0;text-align:left;margin-left:128.05pt;margin-top:209.45pt;width:87.65pt;height:30.6pt;z-index:251668480" fillcolor="yellow">
            <v:textbox>
              <w:txbxContent>
                <w:p w:rsidR="000B2651" w:rsidRDefault="000B2651">
                  <w:r>
                    <w:t xml:space="preserve">Prima </w:t>
                  </w:r>
                </w:p>
              </w:txbxContent>
            </v:textbox>
          </v:shape>
        </w:pict>
      </w:r>
      <w:r w:rsidR="00D4313B">
        <w:rPr>
          <w:sz w:val="28"/>
        </w:rPr>
        <w:t xml:space="preserve"> </w:t>
      </w:r>
      <w:r w:rsidR="0037272A">
        <w:rPr>
          <w:noProof/>
        </w:rPr>
        <w:drawing>
          <wp:inline distT="0" distB="0" distL="0" distR="0">
            <wp:extent cx="6120130" cy="4733853"/>
            <wp:effectExtent l="19050" t="0" r="0" b="0"/>
            <wp:docPr id="442" name="Immagine 442" descr="EasternFront191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2" descr="EasternFront1915b.jpg"/>
                    <pic:cNvPicPr>
                      <a:picLocks noChangeAspect="1" noChangeArrowheads="1"/>
                    </pic:cNvPicPr>
                  </pic:nvPicPr>
                  <pic:blipFill>
                    <a:blip r:embed="rId143"/>
                    <a:srcRect/>
                    <a:stretch>
                      <a:fillRect/>
                    </a:stretch>
                  </pic:blipFill>
                  <pic:spPr bwMode="auto">
                    <a:xfrm>
                      <a:off x="0" y="0"/>
                      <a:ext cx="6120130" cy="4733853"/>
                    </a:xfrm>
                    <a:prstGeom prst="rect">
                      <a:avLst/>
                    </a:prstGeom>
                    <a:noFill/>
                    <a:ln w="9525">
                      <a:noFill/>
                      <a:miter lim="800000"/>
                      <a:headEnd/>
                      <a:tailEnd/>
                    </a:ln>
                  </pic:spPr>
                </pic:pic>
              </a:graphicData>
            </a:graphic>
          </wp:inline>
        </w:drawing>
      </w:r>
      <w:r w:rsidR="0037272A" w:rsidRPr="0037272A">
        <w:rPr>
          <w:rFonts w:ascii="Arial" w:hAnsi="Arial" w:cs="Arial"/>
          <w:color w:val="222222"/>
          <w:sz w:val="18"/>
          <w:szCs w:val="18"/>
          <w:shd w:val="clear" w:color="auto" w:fill="F9F9F9"/>
        </w:rPr>
        <w:t xml:space="preserve"> </w:t>
      </w:r>
      <w:r w:rsidR="0037272A" w:rsidRPr="0037272A">
        <w:rPr>
          <w:rFonts w:cstheme="minorHAnsi"/>
          <w:sz w:val="24"/>
          <w:szCs w:val="18"/>
          <w:shd w:val="clear" w:color="auto" w:fill="F9F9F9"/>
        </w:rPr>
        <w:t>Il fronte nord-orientale prima e dopo la Grande Ritirata russa</w:t>
      </w:r>
    </w:p>
    <w:p w:rsidR="00D4313B" w:rsidRDefault="00D4313B" w:rsidP="000B2651">
      <w:pPr>
        <w:jc w:val="both"/>
        <w:rPr>
          <w:sz w:val="28"/>
        </w:rPr>
      </w:pPr>
      <w:r>
        <w:rPr>
          <w:sz w:val="28"/>
        </w:rPr>
        <w:t>Polonia, Lituani</w:t>
      </w:r>
      <w:r w:rsidR="0037272A">
        <w:rPr>
          <w:sz w:val="28"/>
        </w:rPr>
        <w:t>a</w:t>
      </w:r>
      <w:r>
        <w:rPr>
          <w:sz w:val="28"/>
        </w:rPr>
        <w:t xml:space="preserve"> e parte della Lettonia erano stati conquistati dai Tedeschi. Galizia e Bucovina riconquistate dagli austriaci</w:t>
      </w:r>
      <w:r w:rsidR="0037272A">
        <w:rPr>
          <w:sz w:val="28"/>
        </w:rPr>
        <w:t>.</w:t>
      </w:r>
    </w:p>
    <w:p w:rsidR="0037272A" w:rsidRDefault="0037272A" w:rsidP="000B2651">
      <w:pPr>
        <w:jc w:val="both"/>
        <w:rPr>
          <w:sz w:val="28"/>
        </w:rPr>
      </w:pPr>
      <w:r>
        <w:rPr>
          <w:noProof/>
        </w:rPr>
        <w:drawing>
          <wp:inline distT="0" distB="0" distL="0" distR="0">
            <wp:extent cx="1830817" cy="2456434"/>
            <wp:effectExtent l="19050" t="0" r="0" b="0"/>
            <wp:docPr id="27" name="Immagine 448" descr="Risultati immagini per alexei poliv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8" descr="Risultati immagini per alexei polivanov"/>
                    <pic:cNvPicPr>
                      <a:picLocks noChangeAspect="1" noChangeArrowheads="1"/>
                    </pic:cNvPicPr>
                  </pic:nvPicPr>
                  <pic:blipFill>
                    <a:blip r:embed="rId144"/>
                    <a:srcRect/>
                    <a:stretch>
                      <a:fillRect/>
                    </a:stretch>
                  </pic:blipFill>
                  <pic:spPr bwMode="auto">
                    <a:xfrm>
                      <a:off x="0" y="0"/>
                      <a:ext cx="1832314" cy="2458443"/>
                    </a:xfrm>
                    <a:prstGeom prst="rect">
                      <a:avLst/>
                    </a:prstGeom>
                    <a:noFill/>
                    <a:ln w="9525">
                      <a:noFill/>
                      <a:miter lim="800000"/>
                      <a:headEnd/>
                      <a:tailEnd/>
                    </a:ln>
                  </pic:spPr>
                </pic:pic>
              </a:graphicData>
            </a:graphic>
          </wp:inline>
        </w:drawing>
      </w:r>
      <w:r>
        <w:rPr>
          <w:noProof/>
        </w:rPr>
        <w:drawing>
          <wp:inline distT="0" distB="0" distL="0" distR="0">
            <wp:extent cx="2622011" cy="2458528"/>
            <wp:effectExtent l="19050" t="0" r="6889" b="0"/>
            <wp:docPr id="445" name="Immagine 445" descr="Risultati immagini per nicola I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5" descr="Risultati immagini per nicola II prima guerra mondiale"/>
                    <pic:cNvPicPr>
                      <a:picLocks noChangeAspect="1" noChangeArrowheads="1"/>
                    </pic:cNvPicPr>
                  </pic:nvPicPr>
                  <pic:blipFill>
                    <a:blip r:embed="rId145"/>
                    <a:srcRect/>
                    <a:stretch>
                      <a:fillRect/>
                    </a:stretch>
                  </pic:blipFill>
                  <pic:spPr bwMode="auto">
                    <a:xfrm>
                      <a:off x="0" y="0"/>
                      <a:ext cx="2621950" cy="2458471"/>
                    </a:xfrm>
                    <a:prstGeom prst="rect">
                      <a:avLst/>
                    </a:prstGeom>
                    <a:noFill/>
                    <a:ln w="9525">
                      <a:noFill/>
                      <a:miter lim="800000"/>
                      <a:headEnd/>
                      <a:tailEnd/>
                    </a:ln>
                  </pic:spPr>
                </pic:pic>
              </a:graphicData>
            </a:graphic>
          </wp:inline>
        </w:drawing>
      </w:r>
    </w:p>
    <w:p w:rsidR="0037272A" w:rsidRDefault="0037272A" w:rsidP="000B2651">
      <w:pPr>
        <w:jc w:val="both"/>
        <w:rPr>
          <w:sz w:val="28"/>
        </w:rPr>
      </w:pPr>
      <w:r>
        <w:rPr>
          <w:sz w:val="28"/>
        </w:rPr>
        <w:lastRenderedPageBreak/>
        <w:t xml:space="preserve">Aleksej Polivanov, un “modernizzatore” delle forze armate, diventa Ministro della Guerra. </w:t>
      </w:r>
      <w:r w:rsidR="0090101B">
        <w:rPr>
          <w:sz w:val="28"/>
        </w:rPr>
        <w:t>Il quartier generale era a Mogilev (oggi è Majileu in Bielorussa). Nicola II decise di assumere il comando delle forze armate sul campo di battaglia. I pettegolezzi della Corte e l’incapacità di comando della zariva determinarono il comando di questi anni. La scelta di un sovrano al comando poteva essere positiva solo in caso di vittoria. In caso di sconfitta lo zar si esponeva al malcontento generale, inoltre, la capitale aveva perso il suo autocrate.</w:t>
      </w:r>
    </w:p>
    <w:p w:rsidR="0090101B" w:rsidRDefault="0090101B" w:rsidP="000B2651">
      <w:pPr>
        <w:jc w:val="both"/>
        <w:rPr>
          <w:b/>
          <w:sz w:val="28"/>
        </w:rPr>
      </w:pPr>
      <w:r>
        <w:rPr>
          <w:b/>
          <w:sz w:val="28"/>
        </w:rPr>
        <w:t>1916</w:t>
      </w:r>
    </w:p>
    <w:p w:rsidR="0090101B" w:rsidRPr="0090101B" w:rsidRDefault="0090101B" w:rsidP="000B2651">
      <w:pPr>
        <w:jc w:val="both"/>
        <w:rPr>
          <w:sz w:val="28"/>
        </w:rPr>
      </w:pPr>
      <w:r>
        <w:rPr>
          <w:sz w:val="28"/>
        </w:rPr>
        <w:t xml:space="preserve">Il fronte si era stabilizzato. I tedeschi si resero conto che era difficile proseguire. I Russi erano disposti a perdere grandi porzioni di territori e sostenere un grande numero di perdite. In estate Brusilov  guidò un estasiante avanzata in Galizia e Bucovina. La gestione della </w:t>
      </w:r>
      <w:r w:rsidRPr="0090101B">
        <w:rPr>
          <w:i/>
          <w:sz w:val="28"/>
        </w:rPr>
        <w:t>stavka</w:t>
      </w:r>
      <w:r>
        <w:rPr>
          <w:sz w:val="28"/>
        </w:rPr>
        <w:t xml:space="preserve"> (quartier generale) fu disastrosa. I generali del nord-occidente non parteciparono. Altra avanzata vittoriosa fu in Romania per impedire l’avanzata tedesca in Romania. La Romania era entrata a fianco dell’Intesa nel 27 agosto 1916. Il comandante Judenic conquistò territori in Persia e in Turchia a discapito dei turchi.</w:t>
      </w:r>
    </w:p>
    <w:p w:rsidR="0090101B" w:rsidRDefault="0090101B" w:rsidP="000B2651">
      <w:pPr>
        <w:jc w:val="both"/>
        <w:rPr>
          <w:sz w:val="28"/>
        </w:rPr>
      </w:pPr>
      <w:r>
        <w:rPr>
          <w:noProof/>
        </w:rPr>
        <w:drawing>
          <wp:inline distT="0" distB="0" distL="0" distR="0">
            <wp:extent cx="2767283" cy="1933753"/>
            <wp:effectExtent l="19050" t="0" r="0" b="0"/>
            <wp:docPr id="451" name="Immagine 451" descr="File:Defenders NGM-v31-p369-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1" descr="File:Defenders NGM-v31-p369-A.jpg"/>
                    <pic:cNvPicPr>
                      <a:picLocks noChangeAspect="1" noChangeArrowheads="1"/>
                    </pic:cNvPicPr>
                  </pic:nvPicPr>
                  <pic:blipFill>
                    <a:blip r:embed="rId146"/>
                    <a:srcRect/>
                    <a:stretch>
                      <a:fillRect/>
                    </a:stretch>
                  </pic:blipFill>
                  <pic:spPr bwMode="auto">
                    <a:xfrm>
                      <a:off x="0" y="0"/>
                      <a:ext cx="2766005" cy="1932860"/>
                    </a:xfrm>
                    <a:prstGeom prst="rect">
                      <a:avLst/>
                    </a:prstGeom>
                    <a:noFill/>
                    <a:ln w="9525">
                      <a:noFill/>
                      <a:miter lim="800000"/>
                      <a:headEnd/>
                      <a:tailEnd/>
                    </a:ln>
                  </pic:spPr>
                </pic:pic>
              </a:graphicData>
            </a:graphic>
          </wp:inline>
        </w:drawing>
      </w:r>
      <w:r w:rsidR="00204612">
        <w:rPr>
          <w:noProof/>
        </w:rPr>
        <w:drawing>
          <wp:inline distT="0" distB="0" distL="0" distR="0">
            <wp:extent cx="3117155" cy="1931003"/>
            <wp:effectExtent l="19050" t="0" r="7045" b="0"/>
            <wp:docPr id="454" name="Immagine 454" descr="https://upload.wikimedia.org/wikipedia/commons/d/de/Nicola_II_e_il_generale_Ivan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4" descr="https://upload.wikimedia.org/wikipedia/commons/d/de/Nicola_II_e_il_generale_Ivanov.jpg"/>
                    <pic:cNvPicPr>
                      <a:picLocks noChangeAspect="1" noChangeArrowheads="1"/>
                    </pic:cNvPicPr>
                  </pic:nvPicPr>
                  <pic:blipFill>
                    <a:blip r:embed="rId147" cstate="print"/>
                    <a:srcRect/>
                    <a:stretch>
                      <a:fillRect/>
                    </a:stretch>
                  </pic:blipFill>
                  <pic:spPr bwMode="auto">
                    <a:xfrm>
                      <a:off x="0" y="0"/>
                      <a:ext cx="3115205" cy="1929795"/>
                    </a:xfrm>
                    <a:prstGeom prst="rect">
                      <a:avLst/>
                    </a:prstGeom>
                    <a:noFill/>
                    <a:ln w="9525">
                      <a:noFill/>
                      <a:miter lim="800000"/>
                      <a:headEnd/>
                      <a:tailEnd/>
                    </a:ln>
                  </pic:spPr>
                </pic:pic>
              </a:graphicData>
            </a:graphic>
          </wp:inline>
        </w:drawing>
      </w:r>
      <w:r w:rsidR="00204612">
        <w:rPr>
          <w:rStyle w:val="Rimandonotaapidipagina"/>
          <w:sz w:val="28"/>
        </w:rPr>
        <w:footnoteReference w:id="45"/>
      </w:r>
    </w:p>
    <w:p w:rsidR="00204612" w:rsidRDefault="00204612" w:rsidP="000B2651">
      <w:pPr>
        <w:jc w:val="both"/>
        <w:rPr>
          <w:sz w:val="28"/>
        </w:rPr>
      </w:pPr>
      <w:r>
        <w:rPr>
          <w:sz w:val="28"/>
        </w:rPr>
        <w:t>La guerra però era ancora da combattere. Le riserve non erano inesauribili. L’esercito poteva contare su 5 milioni di soldati, ma prevalsero altri fattori come:</w:t>
      </w:r>
    </w:p>
    <w:p w:rsidR="00204612" w:rsidRDefault="00204612" w:rsidP="000B2651">
      <w:pPr>
        <w:pStyle w:val="Paragrafoelenco"/>
        <w:numPr>
          <w:ilvl w:val="0"/>
          <w:numId w:val="41"/>
        </w:numPr>
        <w:jc w:val="both"/>
        <w:rPr>
          <w:sz w:val="28"/>
        </w:rPr>
      </w:pPr>
      <w:r>
        <w:rPr>
          <w:sz w:val="28"/>
        </w:rPr>
        <w:t>La cattiva organizzazione della riserva, negligenza e mancanza di aggiornamento tecnico</w:t>
      </w:r>
    </w:p>
    <w:p w:rsidR="00204612" w:rsidRDefault="00204612" w:rsidP="000B2651">
      <w:pPr>
        <w:pStyle w:val="Paragrafoelenco"/>
        <w:numPr>
          <w:ilvl w:val="0"/>
          <w:numId w:val="41"/>
        </w:numPr>
        <w:jc w:val="both"/>
        <w:rPr>
          <w:sz w:val="28"/>
        </w:rPr>
      </w:pPr>
      <w:r>
        <w:rPr>
          <w:sz w:val="28"/>
        </w:rPr>
        <w:t>L’arretratezza dell’intelligence</w:t>
      </w:r>
    </w:p>
    <w:p w:rsidR="00204612" w:rsidRDefault="00204612" w:rsidP="000B2651">
      <w:pPr>
        <w:pStyle w:val="Paragrafoelenco"/>
        <w:numPr>
          <w:ilvl w:val="0"/>
          <w:numId w:val="41"/>
        </w:numPr>
        <w:jc w:val="both"/>
        <w:rPr>
          <w:sz w:val="28"/>
        </w:rPr>
      </w:pPr>
      <w:r>
        <w:rPr>
          <w:sz w:val="28"/>
        </w:rPr>
        <w:t>Carenza dei trasporti e del trasferimento uomini</w:t>
      </w:r>
    </w:p>
    <w:p w:rsidR="00204612" w:rsidRDefault="00204612" w:rsidP="000B2651">
      <w:pPr>
        <w:pStyle w:val="Paragrafoelenco"/>
        <w:numPr>
          <w:ilvl w:val="0"/>
          <w:numId w:val="41"/>
        </w:numPr>
        <w:jc w:val="both"/>
        <w:rPr>
          <w:sz w:val="28"/>
        </w:rPr>
      </w:pPr>
      <w:r>
        <w:rPr>
          <w:sz w:val="28"/>
        </w:rPr>
        <w:lastRenderedPageBreak/>
        <w:t>Ingentissime perdite: 10 milioni di morti in 3 anni</w:t>
      </w:r>
    </w:p>
    <w:p w:rsidR="00204612" w:rsidRDefault="00204612" w:rsidP="000B2651">
      <w:pPr>
        <w:jc w:val="both"/>
        <w:rPr>
          <w:sz w:val="28"/>
        </w:rPr>
      </w:pPr>
      <w:r>
        <w:rPr>
          <w:sz w:val="28"/>
        </w:rPr>
        <w:t>Già a metà del 1915 si verificavano sommosse contro il reclutamento. Erano frequenti casi di diserzione, automutilazione e le riserve erano mal addestrate e riluttanti.</w:t>
      </w:r>
    </w:p>
    <w:p w:rsidR="00204612" w:rsidRDefault="00204612" w:rsidP="000B2651">
      <w:pPr>
        <w:jc w:val="both"/>
        <w:rPr>
          <w:sz w:val="28"/>
        </w:rPr>
      </w:pPr>
      <w:r>
        <w:rPr>
          <w:noProof/>
        </w:rPr>
        <w:drawing>
          <wp:inline distT="0" distB="0" distL="0" distR="0">
            <wp:extent cx="4287520" cy="4338955"/>
            <wp:effectExtent l="0" t="0" r="0" b="0"/>
            <wp:docPr id="457" name="Immagine 457" descr="https://upload.wikimedia.org/wikipedia/commons/thumb/6/66/Cartina_Europa_1914.svg/450px-Cartina_Europa_1914.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7" descr="https://upload.wikimedia.org/wikipedia/commons/thumb/6/66/Cartina_Europa_1914.svg/450px-Cartina_Europa_1914.svg.png"/>
                    <pic:cNvPicPr>
                      <a:picLocks noChangeAspect="1" noChangeArrowheads="1"/>
                    </pic:cNvPicPr>
                  </pic:nvPicPr>
                  <pic:blipFill>
                    <a:blip r:embed="rId148"/>
                    <a:srcRect/>
                    <a:stretch>
                      <a:fillRect/>
                    </a:stretch>
                  </pic:blipFill>
                  <pic:spPr bwMode="auto">
                    <a:xfrm>
                      <a:off x="0" y="0"/>
                      <a:ext cx="4287520" cy="4338955"/>
                    </a:xfrm>
                    <a:prstGeom prst="rect">
                      <a:avLst/>
                    </a:prstGeom>
                    <a:noFill/>
                    <a:ln w="9525">
                      <a:noFill/>
                      <a:miter lim="800000"/>
                      <a:headEnd/>
                      <a:tailEnd/>
                    </a:ln>
                  </pic:spPr>
                </pic:pic>
              </a:graphicData>
            </a:graphic>
          </wp:inline>
        </w:drawing>
      </w:r>
    </w:p>
    <w:p w:rsidR="00204612" w:rsidRDefault="00204612" w:rsidP="000B2651">
      <w:pPr>
        <w:jc w:val="both"/>
        <w:rPr>
          <w:sz w:val="28"/>
        </w:rPr>
      </w:pPr>
      <w:r>
        <w:rPr>
          <w:noProof/>
        </w:rPr>
        <w:lastRenderedPageBreak/>
        <w:drawing>
          <wp:inline distT="0" distB="0" distL="0" distR="0">
            <wp:extent cx="5995670" cy="3726815"/>
            <wp:effectExtent l="19050" t="0" r="5080" b="0"/>
            <wp:docPr id="460" name="Immagine 460"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0" descr="Immagine correlata"/>
                    <pic:cNvPicPr>
                      <a:picLocks noChangeAspect="1" noChangeArrowheads="1"/>
                    </pic:cNvPicPr>
                  </pic:nvPicPr>
                  <pic:blipFill>
                    <a:blip r:embed="rId149"/>
                    <a:srcRect/>
                    <a:stretch>
                      <a:fillRect/>
                    </a:stretch>
                  </pic:blipFill>
                  <pic:spPr bwMode="auto">
                    <a:xfrm>
                      <a:off x="0" y="0"/>
                      <a:ext cx="5995670" cy="3726815"/>
                    </a:xfrm>
                    <a:prstGeom prst="rect">
                      <a:avLst/>
                    </a:prstGeom>
                    <a:noFill/>
                    <a:ln w="9525">
                      <a:noFill/>
                      <a:miter lim="800000"/>
                      <a:headEnd/>
                      <a:tailEnd/>
                    </a:ln>
                  </pic:spPr>
                </pic:pic>
              </a:graphicData>
            </a:graphic>
          </wp:inline>
        </w:drawing>
      </w:r>
    </w:p>
    <w:p w:rsidR="00204612" w:rsidRDefault="00204612" w:rsidP="000B2651">
      <w:pPr>
        <w:pStyle w:val="Titolo2"/>
        <w:jc w:val="both"/>
        <w:rPr>
          <w:sz w:val="28"/>
        </w:rPr>
      </w:pPr>
      <w:bookmarkStart w:id="28" w:name="_Toc493625453"/>
      <w:r w:rsidRPr="00204612">
        <w:rPr>
          <w:sz w:val="28"/>
        </w:rPr>
        <w:t>Nelle ret</w:t>
      </w:r>
      <w:r>
        <w:rPr>
          <w:sz w:val="28"/>
        </w:rPr>
        <w:t>r</w:t>
      </w:r>
      <w:r w:rsidRPr="00204612">
        <w:rPr>
          <w:sz w:val="28"/>
        </w:rPr>
        <w:t>ovie: economie, società, produzione bellica</w:t>
      </w:r>
      <w:bookmarkEnd w:id="28"/>
    </w:p>
    <w:p w:rsidR="006135AF" w:rsidRDefault="006135AF" w:rsidP="000B2651">
      <w:pPr>
        <w:jc w:val="both"/>
        <w:rPr>
          <w:sz w:val="28"/>
        </w:rPr>
      </w:pPr>
      <w:r>
        <w:rPr>
          <w:sz w:val="28"/>
        </w:rPr>
        <w:t>Gravissima era la penuria di armi e munizioni, avendo effetti disastrosi sul morale. Il governo collaborò con gli esponenti del mondo produttivo bellico. Nell’agosto 1915 furono istituiti i Consigli speciali per la Difesa, per i Trasporti, per l’Alimentazione e per il Carburante. Erano organismi composti da rappresentati di governo, deputati della Duma, componenti del Consiglio di Stato, imprenditori privati e ministri del consiglio referente.</w:t>
      </w:r>
    </w:p>
    <w:p w:rsidR="006135AF" w:rsidRDefault="006135AF" w:rsidP="000B2651">
      <w:pPr>
        <w:jc w:val="both"/>
        <w:rPr>
          <w:sz w:val="28"/>
        </w:rPr>
      </w:pPr>
      <w:r>
        <w:rPr>
          <w:sz w:val="28"/>
        </w:rPr>
        <w:t>Tutti questi comitati erano diretti dal Comitato centrale delle industrie belliche, posto a Mosca, in modo da coinvolgere l potenziale industriale nello sforzo bellico.</w:t>
      </w:r>
    </w:p>
    <w:p w:rsidR="006135AF" w:rsidRDefault="006135AF" w:rsidP="000B2651">
      <w:pPr>
        <w:jc w:val="both"/>
        <w:rPr>
          <w:sz w:val="28"/>
        </w:rPr>
      </w:pPr>
      <w:r>
        <w:rPr>
          <w:sz w:val="28"/>
        </w:rPr>
        <w:t xml:space="preserve">L’Unione degli </w:t>
      </w:r>
      <w:r>
        <w:rPr>
          <w:i/>
          <w:sz w:val="28"/>
        </w:rPr>
        <w:t>zemstva</w:t>
      </w:r>
      <w:r>
        <w:rPr>
          <w:sz w:val="28"/>
        </w:rPr>
        <w:t xml:space="preserve"> e l’Unione dei Municipi offriva vano fin dall’inizio rifornimenti, assistenza. Questo contributo volontario fu valorizzato grazie all’unificazione nell’organizzazione dello </w:t>
      </w:r>
      <w:r>
        <w:rPr>
          <w:i/>
          <w:sz w:val="28"/>
        </w:rPr>
        <w:t>Zemgor</w:t>
      </w:r>
      <w:r>
        <w:rPr>
          <w:sz w:val="28"/>
        </w:rPr>
        <w:t>, presieduto dal principe Georgj L’vov, che inviava i propri rappresentanti ai Consigli speciali.</w:t>
      </w:r>
    </w:p>
    <w:p w:rsidR="006135AF" w:rsidRPr="006135AF" w:rsidRDefault="006135AF" w:rsidP="000B2651">
      <w:pPr>
        <w:jc w:val="both"/>
        <w:rPr>
          <w:sz w:val="28"/>
        </w:rPr>
      </w:pPr>
      <w:r>
        <w:rPr>
          <w:sz w:val="28"/>
        </w:rPr>
        <w:t>Il governo insieme al Consiglio della Difesa e al Ministro della Guerra Polivanov cercarono di risolvere il problema della penuria di armi e munizione al fronte con buoni risultati (la produzione nel 1916 era soddisfacente rispetto alle medie degli altri paesi)</w:t>
      </w:r>
      <w:r w:rsidR="00E23E95">
        <w:rPr>
          <w:sz w:val="28"/>
        </w:rPr>
        <w:t xml:space="preserve">. La produzione di beni di consumo e l’industria pesante ottennero risultati scarsi. La deficienza della produzione era dettata dal crollo dei i commerci e </w:t>
      </w:r>
      <w:r w:rsidR="00E23E95">
        <w:rPr>
          <w:sz w:val="28"/>
        </w:rPr>
        <w:lastRenderedPageBreak/>
        <w:t>i trasporti con l’estero. Il settore militare aveva alti profitti. Lo scompenso economico era assoluto.</w:t>
      </w:r>
    </w:p>
    <w:p w:rsidR="00E23E95" w:rsidRDefault="00E23E95" w:rsidP="000B2651">
      <w:pPr>
        <w:jc w:val="both"/>
        <w:rPr>
          <w:sz w:val="28"/>
        </w:rPr>
      </w:pPr>
      <w:r>
        <w:rPr>
          <w:noProof/>
        </w:rPr>
        <w:drawing>
          <wp:inline distT="0" distB="0" distL="0" distR="0">
            <wp:extent cx="2991568" cy="2570214"/>
            <wp:effectExtent l="19050" t="0" r="0" b="0"/>
            <wp:docPr id="466" name="Immagine 466" descr="Risultati immagini per vodka ru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descr="Risultati immagini per vodka russa"/>
                    <pic:cNvPicPr>
                      <a:picLocks noChangeAspect="1" noChangeArrowheads="1"/>
                    </pic:cNvPicPr>
                  </pic:nvPicPr>
                  <pic:blipFill>
                    <a:blip r:embed="rId150"/>
                    <a:srcRect/>
                    <a:stretch>
                      <a:fillRect/>
                    </a:stretch>
                  </pic:blipFill>
                  <pic:spPr bwMode="auto">
                    <a:xfrm>
                      <a:off x="0" y="0"/>
                      <a:ext cx="2994505" cy="2572737"/>
                    </a:xfrm>
                    <a:prstGeom prst="rect">
                      <a:avLst/>
                    </a:prstGeom>
                    <a:noFill/>
                    <a:ln w="9525">
                      <a:noFill/>
                      <a:miter lim="800000"/>
                      <a:headEnd/>
                      <a:tailEnd/>
                    </a:ln>
                  </pic:spPr>
                </pic:pic>
              </a:graphicData>
            </a:graphic>
          </wp:inline>
        </w:drawing>
      </w:r>
      <w:r w:rsidR="006135AF">
        <w:rPr>
          <w:noProof/>
        </w:rPr>
        <w:drawing>
          <wp:anchor distT="0" distB="0" distL="114300" distR="114300" simplePos="0" relativeHeight="251670528" behindDoc="0" locked="0" layoutInCell="1" allowOverlap="1">
            <wp:simplePos x="0" y="0"/>
            <wp:positionH relativeFrom="column">
              <wp:align>left</wp:align>
            </wp:positionH>
            <wp:positionV relativeFrom="paragraph">
              <wp:align>top</wp:align>
            </wp:positionV>
            <wp:extent cx="2339508" cy="2656936"/>
            <wp:effectExtent l="19050" t="0" r="3642" b="0"/>
            <wp:wrapSquare wrapText="bothSides"/>
            <wp:docPr id="463" name="Immagine 463" descr="Г. Е. Львов.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descr="Г. Е. Львов.jpg"/>
                    <pic:cNvPicPr>
                      <a:picLocks noChangeAspect="1" noChangeArrowheads="1"/>
                    </pic:cNvPicPr>
                  </pic:nvPicPr>
                  <pic:blipFill>
                    <a:blip r:embed="rId151" cstate="print"/>
                    <a:srcRect/>
                    <a:stretch>
                      <a:fillRect/>
                    </a:stretch>
                  </pic:blipFill>
                  <pic:spPr bwMode="auto">
                    <a:xfrm>
                      <a:off x="0" y="0"/>
                      <a:ext cx="2339508" cy="2656936"/>
                    </a:xfrm>
                    <a:prstGeom prst="rect">
                      <a:avLst/>
                    </a:prstGeom>
                    <a:noFill/>
                    <a:ln w="9525">
                      <a:noFill/>
                      <a:miter lim="800000"/>
                      <a:headEnd/>
                      <a:tailEnd/>
                    </a:ln>
                  </pic:spPr>
                </pic:pic>
              </a:graphicData>
            </a:graphic>
          </wp:anchor>
        </w:drawing>
      </w:r>
      <w:r>
        <w:rPr>
          <w:sz w:val="28"/>
        </w:rPr>
        <w:br w:type="textWrapping" w:clear="all"/>
      </w:r>
    </w:p>
    <w:p w:rsidR="006135AF" w:rsidRDefault="00E23E95" w:rsidP="000B2651">
      <w:pPr>
        <w:jc w:val="both"/>
        <w:rPr>
          <w:sz w:val="28"/>
        </w:rPr>
      </w:pPr>
      <w:r>
        <w:rPr>
          <w:sz w:val="28"/>
        </w:rPr>
        <w:t>L’agricoltura ottenne  buoni risultati durante la guerra. L’impossibilità dell’esportazione favoriva le eccedenze. La crisi era dovuta per i macchinari davvero obsoleti. I contadini risposero con l’autoconsumo e l’immagazzinamento. Le campagne risposero alla precarietà della guerra con l’autarchia alimentare, la frammentazione delle grandi proprietà, l’autosufficienza (anche nella produzione di vodka, che aveva subito un divieto di vendita già all’inizio della guerra in modo da ridurre alcolismo e da ridurre il deterioramento dei cittadini soldati: tutto questo causò il calo della qualità e il calo del profitto).</w:t>
      </w:r>
    </w:p>
    <w:p w:rsidR="00E23E95" w:rsidRDefault="00E23E95" w:rsidP="000B2651">
      <w:pPr>
        <w:jc w:val="both"/>
        <w:rPr>
          <w:sz w:val="28"/>
        </w:rPr>
      </w:pPr>
      <w:r>
        <w:rPr>
          <w:sz w:val="28"/>
        </w:rPr>
        <w:t xml:space="preserve">Il prezzo del grano saliva mentre la penuria di vivere era acuta. Lo Stato reagì con il decreto del 17 Febbraio 1915: calmierare i prezzi per i beni destinati all’esercito, requisire a prezzi scontati </w:t>
      </w:r>
      <w:r w:rsidR="008D14AA">
        <w:rPr>
          <w:sz w:val="28"/>
        </w:rPr>
        <w:t>nel caso i contadini si rifiutavano.</w:t>
      </w:r>
    </w:p>
    <w:p w:rsidR="008D14AA" w:rsidRDefault="008D14AA" w:rsidP="000B2651">
      <w:pPr>
        <w:jc w:val="both"/>
        <w:rPr>
          <w:sz w:val="28"/>
        </w:rPr>
      </w:pPr>
      <w:r>
        <w:rPr>
          <w:sz w:val="28"/>
        </w:rPr>
        <w:t>Nel 1916 il governo impose prezzi fissi in ogni settore, impose un sistema di requisizione obbligatoria e di ammassi annonari (sottraeva tutte le scorte di grano). Questi interventi furono controproducenti per l’afflusso dei prodotti alimentari dalle campagne nelle città: i contadini incominciarono ad occultare i raccolti e ridurre la produzione</w:t>
      </w:r>
    </w:p>
    <w:p w:rsidR="008D14AA" w:rsidRDefault="008D14AA" w:rsidP="000B2651">
      <w:pPr>
        <w:pStyle w:val="Titolo2"/>
        <w:jc w:val="both"/>
      </w:pPr>
      <w:bookmarkStart w:id="29" w:name="_Toc493625454"/>
      <w:r>
        <w:lastRenderedPageBreak/>
        <w:t>Al vertice: La Duma, i partiti, la corte, il governo</w:t>
      </w:r>
      <w:bookmarkEnd w:id="29"/>
    </w:p>
    <w:p w:rsidR="008D14AA" w:rsidRDefault="008D14AA" w:rsidP="000B2651">
      <w:pPr>
        <w:jc w:val="both"/>
        <w:rPr>
          <w:sz w:val="28"/>
        </w:rPr>
      </w:pPr>
      <w:r>
        <w:rPr>
          <w:sz w:val="28"/>
        </w:rPr>
        <w:t>Dopo l’autosospensione volontaria all’inizio del conflitto, e una breve sessione nel Gennaio 1915, la Duma fu convocata nel 19 luglio 1915. Il regime cercava una base di consenso più ampia.</w:t>
      </w:r>
    </w:p>
    <w:p w:rsidR="008D14AA" w:rsidRDefault="008D14AA" w:rsidP="000B2651">
      <w:pPr>
        <w:jc w:val="both"/>
        <w:rPr>
          <w:sz w:val="28"/>
        </w:rPr>
      </w:pPr>
      <w:r>
        <w:rPr>
          <w:sz w:val="28"/>
        </w:rPr>
        <w:t xml:space="preserve">I lavori durarono 6 settimane. Gli esponenti di destra moderata, centro e sinistra moderata formarono il Blocco progressista. In un programma di 9 punti del 25 Agosto, il Blocco progressista chiedeva un governo di piena fiducia pubblica, un ordinamento con l’assemblea legislativa e la società civile, riconciliazione con i condannati politici e religiosi, conciliazione con le popolazioni non russe, con i sindacati, gli </w:t>
      </w:r>
      <w:r>
        <w:rPr>
          <w:i/>
          <w:sz w:val="28"/>
        </w:rPr>
        <w:t>zemstva</w:t>
      </w:r>
      <w:r>
        <w:rPr>
          <w:sz w:val="28"/>
        </w:rPr>
        <w:t>.</w:t>
      </w:r>
    </w:p>
    <w:p w:rsidR="008D14AA" w:rsidRDefault="008D14AA" w:rsidP="000B2651">
      <w:pPr>
        <w:jc w:val="both"/>
        <w:rPr>
          <w:sz w:val="28"/>
        </w:rPr>
      </w:pPr>
      <w:r>
        <w:rPr>
          <w:sz w:val="28"/>
        </w:rPr>
        <w:t>Secondo alcuni studiosi, il Blocco progressista avanzava le proposte del Manifesto di Ottobre del 1905. Altri pensano a un compromesso con lo Zar. Lo Zar riluttante riconfermò l’ultraconservatore Goremykin, sciolse la Duma e licenziò alcuni ministri.</w:t>
      </w:r>
    </w:p>
    <w:p w:rsidR="002F1083" w:rsidRDefault="002F1083" w:rsidP="000B2651">
      <w:pPr>
        <w:jc w:val="both"/>
        <w:rPr>
          <w:sz w:val="28"/>
        </w:rPr>
      </w:pPr>
      <w:r>
        <w:rPr>
          <w:sz w:val="28"/>
        </w:rPr>
        <w:t xml:space="preserve">Gli studiosi considerano questo vicende come un </w:t>
      </w:r>
      <w:r>
        <w:rPr>
          <w:i/>
          <w:sz w:val="28"/>
        </w:rPr>
        <w:t>turning point</w:t>
      </w:r>
      <w:r>
        <w:rPr>
          <w:sz w:val="28"/>
        </w:rPr>
        <w:t xml:space="preserve"> mancato da parte dello Zar, che si alienava i consensi dell’opinione pubblica. Molti russi pensavano ad un’imminente catastrofe. Lo storico Geoffrey Hosking sostiene che lo zar mancò l’ultima occasione di “gettare” un ponte fra Stato e società civile, fra governo e popolo, di integrare economi di città e di campagna, di proporre la cooperazione nella mobilitazione generale, di ispirare patriottismo e senso di appartenenza alla causa.</w:t>
      </w:r>
    </w:p>
    <w:p w:rsidR="002F1083" w:rsidRDefault="002F1083" w:rsidP="000B2651">
      <w:pPr>
        <w:jc w:val="both"/>
        <w:rPr>
          <w:sz w:val="28"/>
        </w:rPr>
      </w:pPr>
      <w:r>
        <w:rPr>
          <w:sz w:val="28"/>
        </w:rPr>
        <w:t>I liberali e i progressisti avevano 3 intenti:</w:t>
      </w:r>
    </w:p>
    <w:p w:rsidR="002F1083" w:rsidRDefault="002F1083" w:rsidP="000B2651">
      <w:pPr>
        <w:pStyle w:val="Paragrafoelenco"/>
        <w:numPr>
          <w:ilvl w:val="0"/>
          <w:numId w:val="42"/>
        </w:numPr>
        <w:jc w:val="both"/>
        <w:rPr>
          <w:sz w:val="28"/>
        </w:rPr>
      </w:pPr>
      <w:r>
        <w:rPr>
          <w:sz w:val="28"/>
        </w:rPr>
        <w:t>Prevenire la rivoluzione</w:t>
      </w:r>
    </w:p>
    <w:p w:rsidR="002F1083" w:rsidRDefault="002F1083" w:rsidP="000B2651">
      <w:pPr>
        <w:pStyle w:val="Paragrafoelenco"/>
        <w:numPr>
          <w:ilvl w:val="0"/>
          <w:numId w:val="42"/>
        </w:numPr>
        <w:jc w:val="both"/>
        <w:rPr>
          <w:sz w:val="28"/>
        </w:rPr>
      </w:pPr>
      <w:r>
        <w:rPr>
          <w:sz w:val="28"/>
        </w:rPr>
        <w:t>Promuovere il rinnovamento del sistema produttivo, amministrativo e militare</w:t>
      </w:r>
    </w:p>
    <w:p w:rsidR="002F1083" w:rsidRDefault="002F1083" w:rsidP="000B2651">
      <w:pPr>
        <w:pStyle w:val="Paragrafoelenco"/>
        <w:numPr>
          <w:ilvl w:val="0"/>
          <w:numId w:val="42"/>
        </w:numPr>
        <w:jc w:val="both"/>
        <w:rPr>
          <w:sz w:val="28"/>
        </w:rPr>
      </w:pPr>
      <w:r>
        <w:rPr>
          <w:sz w:val="28"/>
        </w:rPr>
        <w:t>Modernizzare l’economia, le istituzioni, la cittadinanza</w:t>
      </w:r>
    </w:p>
    <w:p w:rsidR="002F1083" w:rsidRDefault="002F1083" w:rsidP="000B2651">
      <w:pPr>
        <w:jc w:val="both"/>
        <w:rPr>
          <w:sz w:val="28"/>
        </w:rPr>
      </w:pPr>
      <w:r>
        <w:rPr>
          <w:sz w:val="28"/>
        </w:rPr>
        <w:t>Nel Gennaio 1916 anche Goremykin fu allontanato e sostituito con Boris Sturmer, in modo da avviare un dialogo più adatto con la Duma. Sturmer però era vicino a Rasputin e inoltre il cognome di origine tedesca, era motivo del nazionalismo antitedesco. Nel marzo 1916 Polivanov fu costretto alle dimissioni anche se aveva ottenuto buoni risultati. Era troppo vicino all’ottobrista Guckov e ai comitati militari-industriali. Anche Sazonov, ministro degli esteri, fu allontanato.</w:t>
      </w:r>
    </w:p>
    <w:p w:rsidR="005A58A7" w:rsidRDefault="005A58A7" w:rsidP="000B2651">
      <w:pPr>
        <w:jc w:val="both"/>
        <w:rPr>
          <w:sz w:val="28"/>
        </w:rPr>
      </w:pPr>
      <w:r>
        <w:rPr>
          <w:sz w:val="28"/>
        </w:rPr>
        <w:lastRenderedPageBreak/>
        <w:t>Sturmer accumulava cariche e alimentava i sospetti di un complotto filotedesco in cui sarebbero stati implicati i vertici dello Stato, con in testa la zarina Aleksandra Fedorovna. Lo Zar ricercava collaboratori fedeli non collaboratori competenti: questo ebbe solo effetti deleteri</w:t>
      </w:r>
    </w:p>
    <w:p w:rsidR="002F1083" w:rsidRDefault="002F1083" w:rsidP="000B2651">
      <w:pPr>
        <w:jc w:val="both"/>
        <w:rPr>
          <w:sz w:val="28"/>
        </w:rPr>
      </w:pPr>
      <w:r>
        <w:rPr>
          <w:noProof/>
        </w:rPr>
        <w:drawing>
          <wp:inline distT="0" distB="0" distL="0" distR="0">
            <wp:extent cx="1458021" cy="2431656"/>
            <wp:effectExtent l="19050" t="0" r="8829" b="0"/>
            <wp:docPr id="469" name="Immagine 469" descr="Risultati immagini per Boris Sturm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descr="Risultati immagini per Boris Sturmer"/>
                    <pic:cNvPicPr>
                      <a:picLocks noChangeAspect="1" noChangeArrowheads="1"/>
                    </pic:cNvPicPr>
                  </pic:nvPicPr>
                  <pic:blipFill>
                    <a:blip r:embed="rId152"/>
                    <a:srcRect/>
                    <a:stretch>
                      <a:fillRect/>
                    </a:stretch>
                  </pic:blipFill>
                  <pic:spPr bwMode="auto">
                    <a:xfrm>
                      <a:off x="0" y="0"/>
                      <a:ext cx="1460903" cy="2436463"/>
                    </a:xfrm>
                    <a:prstGeom prst="rect">
                      <a:avLst/>
                    </a:prstGeom>
                    <a:noFill/>
                    <a:ln w="9525">
                      <a:noFill/>
                      <a:miter lim="800000"/>
                      <a:headEnd/>
                      <a:tailEnd/>
                    </a:ln>
                  </pic:spPr>
                </pic:pic>
              </a:graphicData>
            </a:graphic>
          </wp:inline>
        </w:drawing>
      </w:r>
      <w:r w:rsidR="005A58A7">
        <w:rPr>
          <w:noProof/>
        </w:rPr>
        <w:drawing>
          <wp:inline distT="0" distB="0" distL="0" distR="0">
            <wp:extent cx="1719393" cy="2429302"/>
            <wp:effectExtent l="19050" t="0" r="0" b="0"/>
            <wp:docPr id="472" name="Immagine 472" descr="Risultati immagini per aleksandra fedorov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2" descr="Risultati immagini per aleksandra fedorovna"/>
                    <pic:cNvPicPr>
                      <a:picLocks noChangeAspect="1" noChangeArrowheads="1"/>
                    </pic:cNvPicPr>
                  </pic:nvPicPr>
                  <pic:blipFill>
                    <a:blip r:embed="rId153"/>
                    <a:srcRect/>
                    <a:stretch>
                      <a:fillRect/>
                    </a:stretch>
                  </pic:blipFill>
                  <pic:spPr bwMode="auto">
                    <a:xfrm>
                      <a:off x="0" y="0"/>
                      <a:ext cx="1719417" cy="2429336"/>
                    </a:xfrm>
                    <a:prstGeom prst="rect">
                      <a:avLst/>
                    </a:prstGeom>
                    <a:noFill/>
                    <a:ln w="9525">
                      <a:noFill/>
                      <a:miter lim="800000"/>
                      <a:headEnd/>
                      <a:tailEnd/>
                    </a:ln>
                  </pic:spPr>
                </pic:pic>
              </a:graphicData>
            </a:graphic>
          </wp:inline>
        </w:drawing>
      </w:r>
      <w:r w:rsidR="005A58A7">
        <w:rPr>
          <w:noProof/>
        </w:rPr>
        <w:drawing>
          <wp:inline distT="0" distB="0" distL="0" distR="0">
            <wp:extent cx="2096353" cy="2432164"/>
            <wp:effectExtent l="19050" t="0" r="0" b="0"/>
            <wp:docPr id="475" name="Immagine 475" descr="Risultati immagini per raspu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5" descr="Risultati immagini per rasputin"/>
                    <pic:cNvPicPr>
                      <a:picLocks noChangeAspect="1" noChangeArrowheads="1"/>
                    </pic:cNvPicPr>
                  </pic:nvPicPr>
                  <pic:blipFill>
                    <a:blip r:embed="rId154"/>
                    <a:srcRect/>
                    <a:stretch>
                      <a:fillRect/>
                    </a:stretch>
                  </pic:blipFill>
                  <pic:spPr bwMode="auto">
                    <a:xfrm>
                      <a:off x="0" y="0"/>
                      <a:ext cx="2098821" cy="2435028"/>
                    </a:xfrm>
                    <a:prstGeom prst="rect">
                      <a:avLst/>
                    </a:prstGeom>
                    <a:noFill/>
                    <a:ln w="9525">
                      <a:noFill/>
                      <a:miter lim="800000"/>
                      <a:headEnd/>
                      <a:tailEnd/>
                    </a:ln>
                  </pic:spPr>
                </pic:pic>
              </a:graphicData>
            </a:graphic>
          </wp:inline>
        </w:drawing>
      </w:r>
    </w:p>
    <w:p w:rsidR="005A58A7" w:rsidRPr="005A58A7" w:rsidRDefault="005A58A7" w:rsidP="000B2651">
      <w:pPr>
        <w:pStyle w:val="Titolo2"/>
        <w:jc w:val="both"/>
        <w:rPr>
          <w:sz w:val="28"/>
        </w:rPr>
      </w:pPr>
      <w:bookmarkStart w:id="30" w:name="_Toc493625455"/>
      <w:r w:rsidRPr="005A58A7">
        <w:rPr>
          <w:sz w:val="28"/>
        </w:rPr>
        <w:t>Verso la rivoluzione</w:t>
      </w:r>
      <w:bookmarkEnd w:id="30"/>
    </w:p>
    <w:p w:rsidR="005A58A7" w:rsidRDefault="005A58A7" w:rsidP="000B2651">
      <w:pPr>
        <w:jc w:val="both"/>
        <w:rPr>
          <w:sz w:val="28"/>
        </w:rPr>
      </w:pPr>
      <w:r>
        <w:rPr>
          <w:sz w:val="28"/>
        </w:rPr>
        <w:t>La crisi della monarchia era irrefrenabile. Ambigue erano le manovre a corte. La zarina aveva preso orai un ingombrante potere a corte e non bisogna dimenticare la torbida figura di Rasputin (si era avvicinato anche al ministro degli Interni, l’ottobrista Protopopov).</w:t>
      </w:r>
    </w:p>
    <w:p w:rsidR="005A58A7" w:rsidRDefault="005A58A7" w:rsidP="000B2651">
      <w:pPr>
        <w:jc w:val="both"/>
        <w:rPr>
          <w:sz w:val="28"/>
        </w:rPr>
      </w:pPr>
      <w:r>
        <w:rPr>
          <w:sz w:val="28"/>
        </w:rPr>
        <w:t>Anche i monarchici pensavano che il rivolgimento politico era alle porte e volevano frenare la rivoluzione. La rivoluzione era diventato un pericolo serio.</w:t>
      </w:r>
      <w:r w:rsidR="00C97F40">
        <w:rPr>
          <w:sz w:val="28"/>
        </w:rPr>
        <w:t xml:space="preserve"> Le condizioni di vita di milioni di persone erano deteriorate a causa dell’inflazione galoppante, della penuria di viveri e combustibile, del deterioramento dei trasporti.</w:t>
      </w:r>
    </w:p>
    <w:p w:rsidR="00C97F40" w:rsidRDefault="009D083B" w:rsidP="000B2651">
      <w:pPr>
        <w:jc w:val="both"/>
        <w:rPr>
          <w:sz w:val="28"/>
        </w:rPr>
      </w:pPr>
      <w:r>
        <w:rPr>
          <w:sz w:val="28"/>
        </w:rPr>
        <w:t>La situazione nelle città nell’autunno del 1916  era critica: l’afflusso di lavoratori in cerca di impiego nelle industrie belliche aveva creato il caos. Le code per il pane erano lunghissime. Il razionamento e le tessere alimentari avevano causato il rincaro dei prezzi. Gli scioperi si intensificarono, comprendendo anche l’industria bellica. Ci furono i primi casi di soldati che non sparavano alla folla.</w:t>
      </w:r>
    </w:p>
    <w:p w:rsidR="009D083B" w:rsidRDefault="009D083B" w:rsidP="000B2651">
      <w:pPr>
        <w:jc w:val="both"/>
        <w:rPr>
          <w:sz w:val="28"/>
        </w:rPr>
      </w:pPr>
      <w:r>
        <w:rPr>
          <w:noProof/>
        </w:rPr>
        <w:lastRenderedPageBreak/>
        <w:drawing>
          <wp:inline distT="0" distB="0" distL="0" distR="0">
            <wp:extent cx="3038049" cy="1925481"/>
            <wp:effectExtent l="19050" t="0" r="0" b="0"/>
            <wp:docPr id="478" name="Immagine 478" descr="Risultati immagini per sciopero rus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8" descr="Risultati immagini per sciopero russia"/>
                    <pic:cNvPicPr>
                      <a:picLocks noChangeAspect="1" noChangeArrowheads="1"/>
                    </pic:cNvPicPr>
                  </pic:nvPicPr>
                  <pic:blipFill>
                    <a:blip r:embed="rId155" cstate="print"/>
                    <a:srcRect/>
                    <a:stretch>
                      <a:fillRect/>
                    </a:stretch>
                  </pic:blipFill>
                  <pic:spPr bwMode="auto">
                    <a:xfrm>
                      <a:off x="0" y="0"/>
                      <a:ext cx="3040326" cy="1926924"/>
                    </a:xfrm>
                    <a:prstGeom prst="rect">
                      <a:avLst/>
                    </a:prstGeom>
                    <a:noFill/>
                    <a:ln w="9525">
                      <a:noFill/>
                      <a:miter lim="800000"/>
                      <a:headEnd/>
                      <a:tailEnd/>
                    </a:ln>
                  </pic:spPr>
                </pic:pic>
              </a:graphicData>
            </a:graphic>
          </wp:inline>
        </w:drawing>
      </w:r>
      <w:r>
        <w:rPr>
          <w:noProof/>
        </w:rPr>
        <w:drawing>
          <wp:inline distT="0" distB="0" distL="0" distR="0">
            <wp:extent cx="3000882" cy="1924335"/>
            <wp:effectExtent l="19050" t="0" r="9018" b="0"/>
            <wp:docPr id="481" name="Immagine 481" descr="Risultati immagini per sciopero russia guer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descr="Risultati immagini per sciopero russia guerra"/>
                    <pic:cNvPicPr>
                      <a:picLocks noChangeAspect="1" noChangeArrowheads="1"/>
                    </pic:cNvPicPr>
                  </pic:nvPicPr>
                  <pic:blipFill>
                    <a:blip r:embed="rId156"/>
                    <a:srcRect/>
                    <a:stretch>
                      <a:fillRect/>
                    </a:stretch>
                  </pic:blipFill>
                  <pic:spPr bwMode="auto">
                    <a:xfrm>
                      <a:off x="0" y="0"/>
                      <a:ext cx="3004065" cy="1926376"/>
                    </a:xfrm>
                    <a:prstGeom prst="rect">
                      <a:avLst/>
                    </a:prstGeom>
                    <a:noFill/>
                    <a:ln w="9525">
                      <a:noFill/>
                      <a:miter lim="800000"/>
                      <a:headEnd/>
                      <a:tailEnd/>
                    </a:ln>
                  </pic:spPr>
                </pic:pic>
              </a:graphicData>
            </a:graphic>
          </wp:inline>
        </w:drawing>
      </w:r>
    </w:p>
    <w:p w:rsidR="009D083B" w:rsidRDefault="009D083B" w:rsidP="000B2651">
      <w:pPr>
        <w:jc w:val="both"/>
        <w:rPr>
          <w:sz w:val="28"/>
        </w:rPr>
      </w:pPr>
      <w:r>
        <w:rPr>
          <w:sz w:val="28"/>
        </w:rPr>
        <w:t>A Pietrogrado (dopo lo scoppio della guerra) il freddo, gli stenti economici e il malcontento sociale assunsero proporzioni inimmaginabili. La polizia pensava a una rivoluzione immediata causata dalla difficoltà di vivere. Il popolo era risentito verso la corona e il governo. Le elites sperperavano mentre al fronte si moriva e all’interno si viveva di stenti</w:t>
      </w:r>
    </w:p>
    <w:p w:rsidR="009D083B" w:rsidRDefault="009D083B" w:rsidP="000B2651">
      <w:pPr>
        <w:jc w:val="both"/>
        <w:rPr>
          <w:sz w:val="28"/>
        </w:rPr>
      </w:pPr>
      <w:r>
        <w:rPr>
          <w:sz w:val="28"/>
        </w:rPr>
        <w:t>La Duma riaprì il 1° Novembre 1906. Costrinse lo zar ad accettare la modifica parlamentarista. Il Blocco progressista e i cadetti di Miljukov chiesero le dimissioni di Sturmer, considerato un nemico tedesco in patria.</w:t>
      </w:r>
      <w:r w:rsidR="00E8029F">
        <w:rPr>
          <w:sz w:val="28"/>
        </w:rPr>
        <w:t xml:space="preserve"> La situazione era incandescente:</w:t>
      </w:r>
    </w:p>
    <w:p w:rsidR="00E8029F" w:rsidRDefault="00E8029F" w:rsidP="000B2651">
      <w:pPr>
        <w:pStyle w:val="Paragrafoelenco"/>
        <w:numPr>
          <w:ilvl w:val="0"/>
          <w:numId w:val="43"/>
        </w:numPr>
        <w:jc w:val="both"/>
        <w:rPr>
          <w:sz w:val="28"/>
        </w:rPr>
      </w:pPr>
      <w:r>
        <w:rPr>
          <w:sz w:val="28"/>
        </w:rPr>
        <w:t>Il trudovik Aleksandr Kerenskij e il menscevico Nikolaj Ccheidze attaccarono con veemenza il governo, e paventavano un’alleanza rivoluzionaria</w:t>
      </w:r>
    </w:p>
    <w:p w:rsidR="00E8029F" w:rsidRDefault="00E8029F" w:rsidP="000B2651">
      <w:pPr>
        <w:pStyle w:val="Paragrafoelenco"/>
        <w:numPr>
          <w:ilvl w:val="0"/>
          <w:numId w:val="43"/>
        </w:numPr>
        <w:jc w:val="both"/>
        <w:rPr>
          <w:sz w:val="28"/>
        </w:rPr>
      </w:pPr>
      <w:r>
        <w:rPr>
          <w:sz w:val="28"/>
        </w:rPr>
        <w:t>La destra era inviperita con il governo, accusato di tradimento</w:t>
      </w:r>
    </w:p>
    <w:p w:rsidR="00E8029F" w:rsidRDefault="00E8029F" w:rsidP="000B2651">
      <w:pPr>
        <w:jc w:val="both"/>
        <w:rPr>
          <w:sz w:val="28"/>
        </w:rPr>
      </w:pPr>
      <w:r>
        <w:rPr>
          <w:sz w:val="28"/>
        </w:rPr>
        <w:t>Lo Zar sostituì Sturmer con Aleksandr Trepov e mantenne la Duma in sessione. Il pericolo di una rivoluzione, che travolgesse la Duma e lo Zar, era concreto. Lo zar per conservare il proprio potere doveva radicalizzare le proprie scelte, ma non lo fece. I liberali Guckov e Nikolaj L’vov tentarono di salvare la Corona con una congiura. Questa fu orchestrata dagli ambiente di corte dell’ultra-destra che attribuirono il male radicale a Rasputin. Nel dicembre del 1906 fu assassinato e gettato nella Neva. Con questo gesto pensavano di salvare la dinastia dei Romanov dalla catastrofe. Era ormai troppo tardi.</w:t>
      </w:r>
    </w:p>
    <w:p w:rsidR="00E8029F" w:rsidRDefault="00E8029F" w:rsidP="000B2651">
      <w:pPr>
        <w:jc w:val="both"/>
        <w:rPr>
          <w:sz w:val="28"/>
        </w:rPr>
      </w:pPr>
      <w:r>
        <w:rPr>
          <w:noProof/>
        </w:rPr>
        <w:drawing>
          <wp:inline distT="0" distB="0" distL="0" distR="0">
            <wp:extent cx="2130473" cy="1449642"/>
            <wp:effectExtent l="19050" t="0" r="3127" b="0"/>
            <wp:docPr id="484" name="Immagine 484" descr="Risultati immagini per rasputin mo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descr="Risultati immagini per rasputin morto"/>
                    <pic:cNvPicPr>
                      <a:picLocks noChangeAspect="1" noChangeArrowheads="1"/>
                    </pic:cNvPicPr>
                  </pic:nvPicPr>
                  <pic:blipFill>
                    <a:blip r:embed="rId157" cstate="print"/>
                    <a:srcRect/>
                    <a:stretch>
                      <a:fillRect/>
                    </a:stretch>
                  </pic:blipFill>
                  <pic:spPr bwMode="auto">
                    <a:xfrm>
                      <a:off x="0" y="0"/>
                      <a:ext cx="2133164" cy="1451473"/>
                    </a:xfrm>
                    <a:prstGeom prst="rect">
                      <a:avLst/>
                    </a:prstGeom>
                    <a:noFill/>
                    <a:ln w="9525">
                      <a:noFill/>
                      <a:miter lim="800000"/>
                      <a:headEnd/>
                      <a:tailEnd/>
                    </a:ln>
                  </pic:spPr>
                </pic:pic>
              </a:graphicData>
            </a:graphic>
          </wp:inline>
        </w:drawing>
      </w:r>
      <w:r>
        <w:rPr>
          <w:noProof/>
        </w:rPr>
        <w:drawing>
          <wp:inline distT="0" distB="0" distL="0" distR="0">
            <wp:extent cx="2301069" cy="1437861"/>
            <wp:effectExtent l="19050" t="0" r="3981" b="0"/>
            <wp:docPr id="487" name="Immagine 487" descr="Risultati immagini per rasputin mor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descr="Risultati immagini per rasputin morto"/>
                    <pic:cNvPicPr>
                      <a:picLocks noChangeAspect="1" noChangeArrowheads="1"/>
                    </pic:cNvPicPr>
                  </pic:nvPicPr>
                  <pic:blipFill>
                    <a:blip r:embed="rId158"/>
                    <a:srcRect/>
                    <a:stretch>
                      <a:fillRect/>
                    </a:stretch>
                  </pic:blipFill>
                  <pic:spPr bwMode="auto">
                    <a:xfrm>
                      <a:off x="0" y="0"/>
                      <a:ext cx="2302044" cy="1438470"/>
                    </a:xfrm>
                    <a:prstGeom prst="rect">
                      <a:avLst/>
                    </a:prstGeom>
                    <a:noFill/>
                    <a:ln w="9525">
                      <a:noFill/>
                      <a:miter lim="800000"/>
                      <a:headEnd/>
                      <a:tailEnd/>
                    </a:ln>
                  </pic:spPr>
                </pic:pic>
              </a:graphicData>
            </a:graphic>
          </wp:inline>
        </w:drawing>
      </w:r>
    </w:p>
    <w:p w:rsidR="00E8029F" w:rsidRDefault="00533B88" w:rsidP="000B2651">
      <w:pPr>
        <w:pStyle w:val="Titolo1"/>
        <w:jc w:val="both"/>
      </w:pPr>
      <w:bookmarkStart w:id="31" w:name="_Toc493625456"/>
      <w:r>
        <w:lastRenderedPageBreak/>
        <w:t>6° Capitolo: La Rivoluzione di Febbraio</w:t>
      </w:r>
      <w:bookmarkEnd w:id="31"/>
    </w:p>
    <w:p w:rsidR="00533B88" w:rsidRDefault="00533B88" w:rsidP="000B2651">
      <w:pPr>
        <w:jc w:val="both"/>
        <w:rPr>
          <w:sz w:val="28"/>
        </w:rPr>
      </w:pPr>
      <w:r>
        <w:rPr>
          <w:sz w:val="28"/>
        </w:rPr>
        <w:t xml:space="preserve">La 2° Rivoluzione russa </w:t>
      </w:r>
      <w:r w:rsidR="003C7DCC">
        <w:rPr>
          <w:sz w:val="28"/>
        </w:rPr>
        <w:t>divampò fra il 23 e il 27 Febbraio nelle Strade di Pietrogrado. La Rivoluzione di Febbraio avvenne dopo due anni e mezzo di guerra. L’inverno era stato pieno di privazioni e fu abbattuta definitivamente il casato dei Romanov. Fu il risultato di una massa spontanea. Il malcontento popolare si scatenò contro i simboli del potere monarchico, distrutti i simboli per le strade. Si accusavano i Romanov anche di dicerie scandalistiche. I pettegolezzi, la precarietà delle condizioni di vita, la corruzione della corte, il governo della zarina suggerita da Rasputin, il presunto “complotto” tedesco (condotto da Sturmer e dalla zarina) desacralizzarono la monarchia e l’insofferenza sfociò in rivoluzione.</w:t>
      </w:r>
    </w:p>
    <w:p w:rsidR="003C7DCC" w:rsidRDefault="003C7DCC" w:rsidP="000B2651">
      <w:pPr>
        <w:jc w:val="both"/>
        <w:rPr>
          <w:sz w:val="28"/>
        </w:rPr>
      </w:pPr>
      <w:r>
        <w:rPr>
          <w:noProof/>
        </w:rPr>
        <w:drawing>
          <wp:inline distT="0" distB="0" distL="0" distR="0">
            <wp:extent cx="3075024" cy="2177305"/>
            <wp:effectExtent l="19050" t="0" r="0" b="0"/>
            <wp:docPr id="29" name="Immagine 493" descr="Risultati immagini per rivoluzione di febbra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3" descr="Risultati immagini per rivoluzione di febbraio"/>
                    <pic:cNvPicPr>
                      <a:picLocks noChangeAspect="1" noChangeArrowheads="1"/>
                    </pic:cNvPicPr>
                  </pic:nvPicPr>
                  <pic:blipFill>
                    <a:blip r:embed="rId159"/>
                    <a:srcRect/>
                    <a:stretch>
                      <a:fillRect/>
                    </a:stretch>
                  </pic:blipFill>
                  <pic:spPr bwMode="auto">
                    <a:xfrm>
                      <a:off x="0" y="0"/>
                      <a:ext cx="3072918" cy="2175814"/>
                    </a:xfrm>
                    <a:prstGeom prst="rect">
                      <a:avLst/>
                    </a:prstGeom>
                    <a:noFill/>
                    <a:ln w="9525">
                      <a:noFill/>
                      <a:miter lim="800000"/>
                      <a:headEnd/>
                      <a:tailEnd/>
                    </a:ln>
                  </pic:spPr>
                </pic:pic>
              </a:graphicData>
            </a:graphic>
          </wp:inline>
        </w:drawing>
      </w:r>
      <w:r>
        <w:rPr>
          <w:noProof/>
        </w:rPr>
        <w:drawing>
          <wp:inline distT="0" distB="0" distL="0" distR="0">
            <wp:extent cx="2989964" cy="2178708"/>
            <wp:effectExtent l="19050" t="0" r="886" b="0"/>
            <wp:docPr id="490" name="Immagine 490" descr="File:Miting-gosduma-1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descr="File:Miting-gosduma-1917.jpg"/>
                    <pic:cNvPicPr>
                      <a:picLocks noChangeAspect="1" noChangeArrowheads="1"/>
                    </pic:cNvPicPr>
                  </pic:nvPicPr>
                  <pic:blipFill>
                    <a:blip r:embed="rId160"/>
                    <a:srcRect/>
                    <a:stretch>
                      <a:fillRect/>
                    </a:stretch>
                  </pic:blipFill>
                  <pic:spPr bwMode="auto">
                    <a:xfrm>
                      <a:off x="0" y="0"/>
                      <a:ext cx="2993009" cy="2180927"/>
                    </a:xfrm>
                    <a:prstGeom prst="rect">
                      <a:avLst/>
                    </a:prstGeom>
                    <a:noFill/>
                    <a:ln w="9525">
                      <a:noFill/>
                      <a:miter lim="800000"/>
                      <a:headEnd/>
                      <a:tailEnd/>
                    </a:ln>
                  </pic:spPr>
                </pic:pic>
              </a:graphicData>
            </a:graphic>
          </wp:inline>
        </w:drawing>
      </w:r>
    </w:p>
    <w:p w:rsidR="003C7DCC" w:rsidRDefault="003C7DCC" w:rsidP="000B2651">
      <w:pPr>
        <w:jc w:val="both"/>
        <w:rPr>
          <w:sz w:val="28"/>
        </w:rPr>
      </w:pPr>
      <w:r>
        <w:rPr>
          <w:sz w:val="28"/>
        </w:rPr>
        <w:t>La Rivoluzione di Febbraio fu una lotta per il controllo dei simboli dello Stato: le statue, gli stemmi e tutti i simboli degli Zar furono fatte a pezzi. Era il trionfo dei vessilli del movimento rivoluzionario e socialista: la bandiera rossa.</w:t>
      </w:r>
    </w:p>
    <w:p w:rsidR="003C7DCC" w:rsidRDefault="003C7DCC" w:rsidP="000B2651">
      <w:pPr>
        <w:jc w:val="both"/>
        <w:rPr>
          <w:sz w:val="28"/>
        </w:rPr>
      </w:pPr>
      <w:r>
        <w:rPr>
          <w:noProof/>
        </w:rPr>
        <w:drawing>
          <wp:inline distT="0" distB="0" distL="0" distR="0">
            <wp:extent cx="2873006" cy="1935126"/>
            <wp:effectExtent l="19050" t="0" r="3544" b="0"/>
            <wp:docPr id="496" name="Immagine 496" descr="Risultati immagini per bandiera ro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6" descr="Risultati immagini per bandiera rossa"/>
                    <pic:cNvPicPr>
                      <a:picLocks noChangeAspect="1" noChangeArrowheads="1"/>
                    </pic:cNvPicPr>
                  </pic:nvPicPr>
                  <pic:blipFill>
                    <a:blip r:embed="rId161"/>
                    <a:srcRect/>
                    <a:stretch>
                      <a:fillRect/>
                    </a:stretch>
                  </pic:blipFill>
                  <pic:spPr bwMode="auto">
                    <a:xfrm>
                      <a:off x="0" y="0"/>
                      <a:ext cx="2868178" cy="1931874"/>
                    </a:xfrm>
                    <a:prstGeom prst="rect">
                      <a:avLst/>
                    </a:prstGeom>
                    <a:noFill/>
                    <a:ln w="9525">
                      <a:noFill/>
                      <a:miter lim="800000"/>
                      <a:headEnd/>
                      <a:tailEnd/>
                    </a:ln>
                  </pic:spPr>
                </pic:pic>
              </a:graphicData>
            </a:graphic>
          </wp:inline>
        </w:drawing>
      </w:r>
      <w:r w:rsidR="000B430D">
        <w:rPr>
          <w:noProof/>
        </w:rPr>
        <w:drawing>
          <wp:inline distT="0" distB="0" distL="0" distR="0">
            <wp:extent cx="3064392" cy="1935126"/>
            <wp:effectExtent l="19050" t="0" r="2658" b="0"/>
            <wp:docPr id="499" name="Immagine 49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9" descr="Immagine correlata"/>
                    <pic:cNvPicPr>
                      <a:picLocks noChangeAspect="1" noChangeArrowheads="1"/>
                    </pic:cNvPicPr>
                  </pic:nvPicPr>
                  <pic:blipFill>
                    <a:blip r:embed="rId162"/>
                    <a:srcRect/>
                    <a:stretch>
                      <a:fillRect/>
                    </a:stretch>
                  </pic:blipFill>
                  <pic:spPr bwMode="auto">
                    <a:xfrm>
                      <a:off x="0" y="0"/>
                      <a:ext cx="3070603" cy="1939048"/>
                    </a:xfrm>
                    <a:prstGeom prst="rect">
                      <a:avLst/>
                    </a:prstGeom>
                    <a:noFill/>
                    <a:ln w="9525">
                      <a:noFill/>
                      <a:miter lim="800000"/>
                      <a:headEnd/>
                      <a:tailEnd/>
                    </a:ln>
                  </pic:spPr>
                </pic:pic>
              </a:graphicData>
            </a:graphic>
          </wp:inline>
        </w:drawing>
      </w:r>
    </w:p>
    <w:p w:rsidR="003C7DCC" w:rsidRPr="000B430D" w:rsidRDefault="000B430D" w:rsidP="000B2651">
      <w:pPr>
        <w:jc w:val="both"/>
        <w:rPr>
          <w:sz w:val="28"/>
        </w:rPr>
      </w:pPr>
      <w:r>
        <w:rPr>
          <w:sz w:val="28"/>
        </w:rPr>
        <w:t xml:space="preserve">Il linguaggio rivoluzionario traeva ispirazione dalla rivoluzione francese: la </w:t>
      </w:r>
      <w:r>
        <w:rPr>
          <w:i/>
          <w:sz w:val="28"/>
        </w:rPr>
        <w:t xml:space="preserve">Marsigliese </w:t>
      </w:r>
      <w:r>
        <w:rPr>
          <w:sz w:val="28"/>
        </w:rPr>
        <w:t>divenne l’inno dei rivoluzionari.</w:t>
      </w:r>
    </w:p>
    <w:p w:rsidR="00204612" w:rsidRDefault="000B430D" w:rsidP="000B2651">
      <w:pPr>
        <w:jc w:val="both"/>
        <w:rPr>
          <w:sz w:val="28"/>
        </w:rPr>
      </w:pPr>
      <w:r>
        <w:rPr>
          <w:sz w:val="28"/>
        </w:rPr>
        <w:lastRenderedPageBreak/>
        <w:t>La mobilitazione avvenne per le manifestazioni pacifiche per la festa della donna. Il giorno dopo gli operai scesero in sciopero per il pane. Approfittando della Neva ghiacciata, i manifestanti superarono i posti di blocco e sciamarono in città. Il 25 febbraio fu proclamato sciopero generale. Le autorità speravano che donativi straordinari potesse calmare la massa imbufalita. Lo Zar ordinò di far cessar i disordini con il fuoco da Mogilev. Fu proclamato lo stato d’assedio. Molti reggimenti della guardia di Pietrogrado si ammutinarono, scossi dallo sparare sui manifestanti.</w:t>
      </w:r>
    </w:p>
    <w:p w:rsidR="000B430D" w:rsidRDefault="000B430D" w:rsidP="000B2651">
      <w:pPr>
        <w:jc w:val="both"/>
        <w:rPr>
          <w:sz w:val="28"/>
        </w:rPr>
      </w:pPr>
      <w:r>
        <w:rPr>
          <w:sz w:val="28"/>
        </w:rPr>
        <w:t>Il 27 Febbraio fu il giorno della svolta. Iniziarono gli scontri con la polizia, assalti alle prigioni, saccheggi, vendette e regolamenti di conti con poliziotti e informatori. 1500 persone persero la vita. Gli insorti assumevano il controllo della capitale, il governo rassegnò le dimissioni. In due sale del Palazzo di Tauride si riunirono i nuovi nuclei del potere:</w:t>
      </w:r>
    </w:p>
    <w:p w:rsidR="000B430D" w:rsidRDefault="000B430D" w:rsidP="000B2651">
      <w:pPr>
        <w:pStyle w:val="Paragrafoelenco"/>
        <w:numPr>
          <w:ilvl w:val="0"/>
          <w:numId w:val="44"/>
        </w:numPr>
        <w:jc w:val="both"/>
        <w:rPr>
          <w:sz w:val="28"/>
        </w:rPr>
      </w:pPr>
      <w:r>
        <w:rPr>
          <w:sz w:val="28"/>
        </w:rPr>
        <w:t>Il Comitato esecutivo provvisorio del Soviet dei deputati operai fu egemonizzato da socialisti moderati, menscevichi, trudoviki</w:t>
      </w:r>
    </w:p>
    <w:p w:rsidR="00204612" w:rsidRDefault="000B430D" w:rsidP="000B2651">
      <w:pPr>
        <w:pStyle w:val="Paragrafoelenco"/>
        <w:numPr>
          <w:ilvl w:val="0"/>
          <w:numId w:val="44"/>
        </w:numPr>
        <w:jc w:val="both"/>
        <w:rPr>
          <w:sz w:val="28"/>
        </w:rPr>
      </w:pPr>
      <w:r>
        <w:rPr>
          <w:sz w:val="28"/>
        </w:rPr>
        <w:t>Il Comitato provvisorio per il ristabilimento dell’ordine e dei rapporti con le istituzioni fu costituito dal Blocco progressista, che si era rifiutato di sciogliere la Duma</w:t>
      </w:r>
    </w:p>
    <w:p w:rsidR="004F6607" w:rsidRDefault="004F6607" w:rsidP="000B2651">
      <w:pPr>
        <w:jc w:val="both"/>
        <w:rPr>
          <w:sz w:val="28"/>
        </w:rPr>
      </w:pPr>
      <w:r>
        <w:rPr>
          <w:sz w:val="28"/>
        </w:rPr>
        <w:t>Nicola II si apprestava ad andare alla sua residenza privata di Carskoe selo, in modo da riorganizzarsi ma il suo treno fu dirottato. Lo Stato maggiore, guidato dal generale Alekseev, chiese l’abdicazione. Alla notizia che allo zar subentrava il fratello, il graduca Michele, la folla insorse invocando la Repubblica. Lo Zar abdicl il 3 marzo sotto le pressioni del Governo provvisorio.</w:t>
      </w:r>
    </w:p>
    <w:p w:rsidR="004F6607" w:rsidRDefault="004F6607" w:rsidP="000B2651">
      <w:pPr>
        <w:jc w:val="both"/>
        <w:rPr>
          <w:sz w:val="28"/>
        </w:rPr>
      </w:pPr>
      <w:r>
        <w:rPr>
          <w:noProof/>
        </w:rPr>
        <w:drawing>
          <wp:inline distT="0" distB="0" distL="0" distR="0">
            <wp:extent cx="6120130" cy="2486434"/>
            <wp:effectExtent l="19050" t="0" r="0" b="0"/>
            <wp:docPr id="505" name="Immagine 505" descr="File:Governo provvisorio russo marzo 19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5" descr="File:Governo provvisorio russo marzo 1917.jpg"/>
                    <pic:cNvPicPr>
                      <a:picLocks noChangeAspect="1" noChangeArrowheads="1"/>
                    </pic:cNvPicPr>
                  </pic:nvPicPr>
                  <pic:blipFill>
                    <a:blip r:embed="rId163"/>
                    <a:srcRect/>
                    <a:stretch>
                      <a:fillRect/>
                    </a:stretch>
                  </pic:blipFill>
                  <pic:spPr bwMode="auto">
                    <a:xfrm>
                      <a:off x="0" y="0"/>
                      <a:ext cx="6120130" cy="2486434"/>
                    </a:xfrm>
                    <a:prstGeom prst="rect">
                      <a:avLst/>
                    </a:prstGeom>
                    <a:noFill/>
                    <a:ln w="9525">
                      <a:noFill/>
                      <a:miter lim="800000"/>
                      <a:headEnd/>
                      <a:tailEnd/>
                    </a:ln>
                  </pic:spPr>
                </pic:pic>
              </a:graphicData>
            </a:graphic>
          </wp:inline>
        </w:drawing>
      </w:r>
    </w:p>
    <w:p w:rsidR="004F6607" w:rsidRDefault="004F6607" w:rsidP="000B2651">
      <w:pPr>
        <w:pStyle w:val="Titolo2"/>
        <w:jc w:val="both"/>
        <w:rPr>
          <w:sz w:val="28"/>
        </w:rPr>
      </w:pPr>
      <w:bookmarkStart w:id="32" w:name="_Toc493625457"/>
      <w:r w:rsidRPr="004F6607">
        <w:rPr>
          <w:sz w:val="28"/>
        </w:rPr>
        <w:lastRenderedPageBreak/>
        <w:t>Govern</w:t>
      </w:r>
      <w:r>
        <w:rPr>
          <w:sz w:val="28"/>
        </w:rPr>
        <w:t>o provvisorio e Soviet: il dualismo di potere</w:t>
      </w:r>
      <w:bookmarkEnd w:id="32"/>
    </w:p>
    <w:p w:rsidR="004F6607" w:rsidRDefault="004F6607" w:rsidP="000B2651">
      <w:pPr>
        <w:jc w:val="both"/>
        <w:rPr>
          <w:sz w:val="28"/>
        </w:rPr>
      </w:pPr>
      <w:r>
        <w:rPr>
          <w:sz w:val="28"/>
        </w:rPr>
        <w:t>Il Governo provvisorio si costituì il 2 marzo. Fu composto da:</w:t>
      </w:r>
    </w:p>
    <w:p w:rsidR="004F6607" w:rsidRDefault="004F6607" w:rsidP="000B2651">
      <w:pPr>
        <w:pStyle w:val="Paragrafoelenco"/>
        <w:numPr>
          <w:ilvl w:val="0"/>
          <w:numId w:val="45"/>
        </w:numPr>
        <w:jc w:val="both"/>
        <w:rPr>
          <w:sz w:val="28"/>
        </w:rPr>
      </w:pPr>
      <w:r>
        <w:rPr>
          <w:sz w:val="28"/>
        </w:rPr>
        <w:t>4 cadetti (fra cui Miljukov)</w:t>
      </w:r>
    </w:p>
    <w:p w:rsidR="004F6607" w:rsidRDefault="004F6607" w:rsidP="000B2651">
      <w:pPr>
        <w:pStyle w:val="Paragrafoelenco"/>
        <w:numPr>
          <w:ilvl w:val="0"/>
          <w:numId w:val="45"/>
        </w:numPr>
        <w:jc w:val="both"/>
        <w:rPr>
          <w:sz w:val="28"/>
        </w:rPr>
      </w:pPr>
      <w:r>
        <w:rPr>
          <w:sz w:val="28"/>
        </w:rPr>
        <w:t>2 progressisti</w:t>
      </w:r>
    </w:p>
    <w:p w:rsidR="004F6607" w:rsidRDefault="004F6607" w:rsidP="000B2651">
      <w:pPr>
        <w:pStyle w:val="Paragrafoelenco"/>
        <w:numPr>
          <w:ilvl w:val="0"/>
          <w:numId w:val="45"/>
        </w:numPr>
        <w:jc w:val="both"/>
        <w:rPr>
          <w:sz w:val="28"/>
        </w:rPr>
      </w:pPr>
      <w:r>
        <w:rPr>
          <w:sz w:val="28"/>
        </w:rPr>
        <w:t>2 ottobristi (fra cui Guckov)</w:t>
      </w:r>
    </w:p>
    <w:p w:rsidR="004F6607" w:rsidRDefault="004F6607" w:rsidP="000B2651">
      <w:pPr>
        <w:pStyle w:val="Paragrafoelenco"/>
        <w:numPr>
          <w:ilvl w:val="0"/>
          <w:numId w:val="45"/>
        </w:numPr>
        <w:jc w:val="both"/>
        <w:rPr>
          <w:sz w:val="28"/>
        </w:rPr>
      </w:pPr>
      <w:r>
        <w:rPr>
          <w:sz w:val="28"/>
        </w:rPr>
        <w:t>1 socialista trudoviko</w:t>
      </w:r>
    </w:p>
    <w:p w:rsidR="004F6607" w:rsidRDefault="004F6607" w:rsidP="000B2651">
      <w:pPr>
        <w:jc w:val="both"/>
        <w:rPr>
          <w:sz w:val="28"/>
        </w:rPr>
      </w:pPr>
      <w:r>
        <w:rPr>
          <w:sz w:val="28"/>
        </w:rPr>
        <w:t>Era presieduto da un liberale senza partito, il principe Georgij L’vov, che era anche Ministro degli Interni.</w:t>
      </w:r>
    </w:p>
    <w:p w:rsidR="004F6607" w:rsidRDefault="004F6607" w:rsidP="000B2651">
      <w:pPr>
        <w:jc w:val="both"/>
        <w:rPr>
          <w:sz w:val="28"/>
        </w:rPr>
      </w:pPr>
      <w:r>
        <w:rPr>
          <w:sz w:val="28"/>
        </w:rPr>
        <w:t>Il Soviet dei deputati operai, a cui si unirono alcuni rappresentanti dei soldati, era un’assemblea di 3.000 persone, impegnata in interminabili discussioni. Il suo funzionamento, simile ad un’assemblea di un villaggio, era caotico. I soldati assunsero una posizione precipuo. Le decisioni furono prese da un Comitato esecutivo (</w:t>
      </w:r>
      <w:r w:rsidR="003853A3">
        <w:rPr>
          <w:i/>
          <w:sz w:val="28"/>
        </w:rPr>
        <w:t>Isplkom</w:t>
      </w:r>
      <w:r w:rsidR="003853A3">
        <w:rPr>
          <w:sz w:val="28"/>
        </w:rPr>
        <w:t>),  composto da militanti socialisti e presieduto dal menscevico Ccheidze.</w:t>
      </w:r>
    </w:p>
    <w:p w:rsidR="003853A3" w:rsidRDefault="003853A3" w:rsidP="000B2651">
      <w:pPr>
        <w:jc w:val="both"/>
        <w:rPr>
          <w:sz w:val="28"/>
        </w:rPr>
      </w:pPr>
      <w:r>
        <w:rPr>
          <w:sz w:val="28"/>
        </w:rPr>
        <w:t>Nella notte fra il 1 e il 2 marzo il Comitato esecutivo provvisorio dei Soviet e il Comitato provvisorio per il ristabilimento dell’ordine, giunsero ad un accordo. Era un programma di 8 punti, fondamento dell’attività di governo fino alla convocazione della Costituente. Prevedeva:</w:t>
      </w:r>
    </w:p>
    <w:p w:rsidR="003853A3" w:rsidRDefault="003853A3" w:rsidP="000B2651">
      <w:pPr>
        <w:pStyle w:val="Paragrafoelenco"/>
        <w:numPr>
          <w:ilvl w:val="0"/>
          <w:numId w:val="46"/>
        </w:numPr>
        <w:jc w:val="both"/>
        <w:rPr>
          <w:sz w:val="28"/>
        </w:rPr>
      </w:pPr>
      <w:r>
        <w:rPr>
          <w:sz w:val="28"/>
        </w:rPr>
        <w:t>Amnistia per tutti i prigionieri politici</w:t>
      </w:r>
    </w:p>
    <w:p w:rsidR="003853A3" w:rsidRDefault="003853A3" w:rsidP="000B2651">
      <w:pPr>
        <w:pStyle w:val="Paragrafoelenco"/>
        <w:numPr>
          <w:ilvl w:val="0"/>
          <w:numId w:val="46"/>
        </w:numPr>
        <w:jc w:val="both"/>
        <w:rPr>
          <w:sz w:val="28"/>
        </w:rPr>
      </w:pPr>
      <w:r>
        <w:rPr>
          <w:sz w:val="28"/>
        </w:rPr>
        <w:t>Immediata concessioni delle libertà civili e dei diritti sociali  (quelli del 1905)</w:t>
      </w:r>
    </w:p>
    <w:p w:rsidR="003853A3" w:rsidRDefault="003853A3" w:rsidP="000B2651">
      <w:pPr>
        <w:pStyle w:val="Paragrafoelenco"/>
        <w:numPr>
          <w:ilvl w:val="0"/>
          <w:numId w:val="46"/>
        </w:numPr>
        <w:jc w:val="both"/>
        <w:rPr>
          <w:sz w:val="28"/>
        </w:rPr>
      </w:pPr>
      <w:r>
        <w:rPr>
          <w:sz w:val="28"/>
        </w:rPr>
        <w:t>Preparazione di un’Assemblea Costituente</w:t>
      </w:r>
    </w:p>
    <w:p w:rsidR="003853A3" w:rsidRDefault="003853A3" w:rsidP="000B2651">
      <w:pPr>
        <w:pStyle w:val="Paragrafoelenco"/>
        <w:numPr>
          <w:ilvl w:val="0"/>
          <w:numId w:val="46"/>
        </w:numPr>
        <w:jc w:val="both"/>
        <w:rPr>
          <w:sz w:val="28"/>
        </w:rPr>
      </w:pPr>
      <w:r>
        <w:rPr>
          <w:sz w:val="28"/>
        </w:rPr>
        <w:t>Smantellamento degli organi di polizia e formazione di milizie popolari</w:t>
      </w:r>
    </w:p>
    <w:p w:rsidR="003853A3" w:rsidRDefault="003853A3" w:rsidP="000B2651">
      <w:pPr>
        <w:pStyle w:val="Paragrafoelenco"/>
        <w:numPr>
          <w:ilvl w:val="0"/>
          <w:numId w:val="46"/>
        </w:numPr>
        <w:jc w:val="both"/>
        <w:rPr>
          <w:sz w:val="28"/>
        </w:rPr>
      </w:pPr>
      <w:r>
        <w:rPr>
          <w:sz w:val="28"/>
        </w:rPr>
        <w:t>Elezione a suffragio universale dei nuovi organismi</w:t>
      </w:r>
    </w:p>
    <w:p w:rsidR="003853A3" w:rsidRDefault="003853A3" w:rsidP="000B2651">
      <w:pPr>
        <w:jc w:val="both"/>
        <w:rPr>
          <w:sz w:val="28"/>
        </w:rPr>
      </w:pPr>
      <w:r>
        <w:rPr>
          <w:sz w:val="28"/>
        </w:rPr>
        <w:t>Il Soviet non voleva la responsabilità del governo: accordava al Governo provvisorio un sostegno condizionato. Svolse il ruolo di “custode” del governo. Il Governo provvisorio aveva cercato una legittimazione popolare. Secondo Figes si trattava di un “dualismo di potere”: il Soviet aveva il potere senza responsabilità, il Governo la responsabilità senza potere. Il Governo provvisorio era sotto ricatto e il Comitato esecutivo del Soviet aveva il vero diritto di veto.</w:t>
      </w:r>
      <w:r w:rsidR="00785B36">
        <w:rPr>
          <w:sz w:val="28"/>
        </w:rPr>
        <w:t xml:space="preserve"> È il caso dell’Ordine n.1 riguardante le rivendicazioni dei militari: riguardava l’organizzazione delle forze armate, attribuendo il controllo degli equipaggiamenti a comitati di soldati. Le forze armate erano subordinate al Soviet.</w:t>
      </w:r>
    </w:p>
    <w:p w:rsidR="00785B36" w:rsidRDefault="00785B36" w:rsidP="000B2651">
      <w:pPr>
        <w:jc w:val="both"/>
        <w:rPr>
          <w:sz w:val="28"/>
        </w:rPr>
      </w:pPr>
      <w:r>
        <w:rPr>
          <w:sz w:val="28"/>
        </w:rPr>
        <w:lastRenderedPageBreak/>
        <w:t>Molte furono le occasioni per il Soviet di assumere il potere sotto la spinta popolare. Ma i capi non accettarono, per alcuni motivi:</w:t>
      </w:r>
    </w:p>
    <w:p w:rsidR="00785B36" w:rsidRDefault="00785B36" w:rsidP="000B2651">
      <w:pPr>
        <w:pStyle w:val="Paragrafoelenco"/>
        <w:numPr>
          <w:ilvl w:val="0"/>
          <w:numId w:val="47"/>
        </w:numPr>
        <w:jc w:val="both"/>
        <w:rPr>
          <w:sz w:val="28"/>
        </w:rPr>
      </w:pPr>
      <w:r>
        <w:rPr>
          <w:sz w:val="28"/>
        </w:rPr>
        <w:t>Incapacità dei propri statisti che avevano vissuto in un opposizione di semilegalità;</w:t>
      </w:r>
    </w:p>
    <w:p w:rsidR="00785B36" w:rsidRDefault="00785B36" w:rsidP="000B2651">
      <w:pPr>
        <w:pStyle w:val="Paragrafoelenco"/>
        <w:numPr>
          <w:ilvl w:val="0"/>
          <w:numId w:val="47"/>
        </w:numPr>
        <w:jc w:val="both"/>
        <w:rPr>
          <w:sz w:val="28"/>
        </w:rPr>
      </w:pPr>
      <w:r>
        <w:rPr>
          <w:sz w:val="28"/>
        </w:rPr>
        <w:t>Errori potevano essere addossati ai borghesi in modo da farne il bersaglio del malcontento</w:t>
      </w:r>
    </w:p>
    <w:p w:rsidR="00785B36" w:rsidRDefault="00785B36" w:rsidP="000B2651">
      <w:pPr>
        <w:pStyle w:val="Paragrafoelenco"/>
        <w:numPr>
          <w:ilvl w:val="0"/>
          <w:numId w:val="47"/>
        </w:numPr>
        <w:jc w:val="both"/>
        <w:rPr>
          <w:sz w:val="28"/>
        </w:rPr>
      </w:pPr>
      <w:r>
        <w:rPr>
          <w:sz w:val="28"/>
        </w:rPr>
        <w:t>Convinzione  che il processo rivoluzionario fosse preceduto da una fase “borghese”</w:t>
      </w:r>
    </w:p>
    <w:p w:rsidR="007F2AF5" w:rsidRDefault="007F2AF5" w:rsidP="000B2651">
      <w:pPr>
        <w:jc w:val="both"/>
        <w:rPr>
          <w:sz w:val="28"/>
        </w:rPr>
      </w:pPr>
      <w:r>
        <w:rPr>
          <w:sz w:val="28"/>
        </w:rPr>
        <w:t>L a difficoltà del Governo Provvisorio era dovuta al “dualismo di potere”. Altri errori furono fra la scelta della guerra o pace, la riforma elettorale e la possibile vittoria socialista, la convocazione dell’Assemblea Costituente, la riforma agraria.</w:t>
      </w:r>
    </w:p>
    <w:p w:rsidR="007F2AF5" w:rsidRDefault="007F2AF5" w:rsidP="000B2651">
      <w:pPr>
        <w:jc w:val="both"/>
        <w:rPr>
          <w:sz w:val="28"/>
        </w:rPr>
      </w:pPr>
      <w:r>
        <w:rPr>
          <w:sz w:val="28"/>
        </w:rPr>
        <w:t>Il Governo Provvisorio smantellando l’apparato repressivo zarista non avevano i mezzi per combattere un’altra rivoluzione e ristabilire l’autorità. Permaneva la sintonia con la tradizione culturale dell’</w:t>
      </w:r>
      <w:r>
        <w:rPr>
          <w:i/>
          <w:sz w:val="28"/>
        </w:rPr>
        <w:t>inteligencija</w:t>
      </w:r>
      <w:r>
        <w:rPr>
          <w:sz w:val="28"/>
        </w:rPr>
        <w:t xml:space="preserve"> russa (sfiducia nelle amministrazioni e fede nel popolo). Il Governo provvisorio non capirono l’importanza di formare un sistema di governo solido e alternativo al governo di antico regime.</w:t>
      </w:r>
    </w:p>
    <w:p w:rsidR="00C17808" w:rsidRDefault="00C17808" w:rsidP="000B2651">
      <w:pPr>
        <w:jc w:val="both"/>
        <w:rPr>
          <w:sz w:val="28"/>
        </w:rPr>
      </w:pPr>
      <w:r>
        <w:rPr>
          <w:sz w:val="28"/>
        </w:rPr>
        <w:t>Oggi si utilizza quindi il concetto di “una moltitudine di poteri locali” per indicare la fase post rivoluzionaria del Febbraio 1917.</w:t>
      </w:r>
    </w:p>
    <w:p w:rsidR="00F51BD9" w:rsidRDefault="00F51BD9" w:rsidP="000B2651">
      <w:pPr>
        <w:pStyle w:val="Titolo2"/>
        <w:jc w:val="both"/>
        <w:rPr>
          <w:sz w:val="28"/>
        </w:rPr>
      </w:pPr>
      <w:bookmarkStart w:id="33" w:name="_Toc493625458"/>
      <w:r>
        <w:rPr>
          <w:sz w:val="28"/>
        </w:rPr>
        <w:t>Ceti urbani e operai: la rivoluzione nelle città</w:t>
      </w:r>
      <w:bookmarkEnd w:id="33"/>
    </w:p>
    <w:p w:rsidR="00F51BD9" w:rsidRDefault="00F51BD9" w:rsidP="000B2651">
      <w:pPr>
        <w:jc w:val="both"/>
        <w:rPr>
          <w:sz w:val="28"/>
        </w:rPr>
      </w:pPr>
      <w:r>
        <w:rPr>
          <w:sz w:val="28"/>
        </w:rPr>
        <w:t>Pietrogrado fu la protagonista della Rivoluzione di Febbraio. Altre città furono investite dagli scioperi. Il 1 Marzo anche Mosca elesse il proprio Soviet. Dopo l’abdicazione ci fu la percezione del crollo delle autorità. Dal 3 Marzo si formarono Soviet, comitati e milizie popolari ovunque. Nacquero molti giornali. Euforia e liberta si diffusero ovunque. Dibattiti, riunioni, discussioni politiche si svolgevano in strade e nelle piazze.</w:t>
      </w:r>
      <w:r w:rsidR="003D5107">
        <w:rPr>
          <w:sz w:val="28"/>
        </w:rPr>
        <w:t xml:space="preserve"> Nacquero categorie di lavoratori (artigiani, lavandai, camerieri, facchini), tutti rivendicavano migliori condizioni di lavoro e di salario. Il coinvolgimento dei ceti medi ricordava la Rivoluzione del 1905.</w:t>
      </w:r>
    </w:p>
    <w:p w:rsidR="003D5107" w:rsidRDefault="003D5107" w:rsidP="000B2651">
      <w:pPr>
        <w:jc w:val="both"/>
        <w:rPr>
          <w:sz w:val="28"/>
        </w:rPr>
      </w:pPr>
      <w:r>
        <w:rPr>
          <w:sz w:val="28"/>
        </w:rPr>
        <w:t>La politicizzazione si accelerò. La propaganda influenzò molte persone in diversi spettri sociali. Il nuovo linguaggio politico metteva in discussione il dominio culturale dell’</w:t>
      </w:r>
      <w:r>
        <w:rPr>
          <w:i/>
          <w:sz w:val="28"/>
        </w:rPr>
        <w:t>intelligencija</w:t>
      </w:r>
      <w:r>
        <w:rPr>
          <w:sz w:val="28"/>
        </w:rPr>
        <w:t>. Era uno scontro anche fra idee occidentali e idee dei ceti popolari.</w:t>
      </w:r>
    </w:p>
    <w:p w:rsidR="003D5107" w:rsidRDefault="003D5107" w:rsidP="000B2651">
      <w:pPr>
        <w:jc w:val="both"/>
        <w:rPr>
          <w:sz w:val="28"/>
        </w:rPr>
      </w:pPr>
      <w:r>
        <w:rPr>
          <w:sz w:val="28"/>
        </w:rPr>
        <w:lastRenderedPageBreak/>
        <w:t>Era stata ottenuta la parità di salario e la giornata di otto ore, anche degli operai “bellici”. Il governo voleva assumere un ruolo cardine nel dirigere capitale e lavoro, di coordinare la società e di pianificare l’economia. Furono costituite commissioni di conciliazioni in diverse fabbriche.</w:t>
      </w:r>
    </w:p>
    <w:p w:rsidR="003D5107" w:rsidRDefault="003D5107" w:rsidP="000B2651">
      <w:pPr>
        <w:jc w:val="both"/>
        <w:rPr>
          <w:sz w:val="28"/>
        </w:rPr>
      </w:pPr>
      <w:r>
        <w:rPr>
          <w:sz w:val="28"/>
        </w:rPr>
        <w:t>Gli operai si radicalizzavano soprattutto apprezzavano i bolscevichi. I comitati di fabbrica era il vero referente di mobilitazione. Si formò la “Guardia Rossa”: gli operai ottennero le armi e formarono una milizia parallela a quella del governo.</w:t>
      </w:r>
      <w:r w:rsidR="00F35CFB">
        <w:rPr>
          <w:sz w:val="28"/>
        </w:rPr>
        <w:t xml:space="preserve"> Le avanguardie bolsceviche erano i marinai di Kronstadt, fabbriche metal meccaniche di Vyborg.</w:t>
      </w:r>
    </w:p>
    <w:p w:rsidR="009B74EA" w:rsidRPr="003D5107" w:rsidRDefault="009B74EA" w:rsidP="000B2651">
      <w:pPr>
        <w:jc w:val="both"/>
        <w:rPr>
          <w:sz w:val="28"/>
        </w:rPr>
      </w:pPr>
      <w:r>
        <w:rPr>
          <w:sz w:val="28"/>
        </w:rPr>
        <w:t>La politica di conciliazione del Governo Provvisorio durò poco perché gli operai miravano a condizioni più favorevoli.</w:t>
      </w:r>
    </w:p>
    <w:p w:rsidR="007F2AF5" w:rsidRDefault="009B74EA" w:rsidP="000B2651">
      <w:pPr>
        <w:pStyle w:val="Titolo2"/>
        <w:jc w:val="both"/>
        <w:rPr>
          <w:sz w:val="28"/>
        </w:rPr>
      </w:pPr>
      <w:bookmarkStart w:id="34" w:name="_Toc493625459"/>
      <w:r w:rsidRPr="009B74EA">
        <w:rPr>
          <w:sz w:val="28"/>
        </w:rPr>
        <w:t>La rivoluzione nelle campagne e nelle periferie dell’Impero</w:t>
      </w:r>
      <w:bookmarkEnd w:id="34"/>
    </w:p>
    <w:p w:rsidR="009B74EA" w:rsidRDefault="009B74EA" w:rsidP="000B2651">
      <w:pPr>
        <w:jc w:val="both"/>
        <w:rPr>
          <w:sz w:val="28"/>
        </w:rPr>
      </w:pPr>
      <w:r>
        <w:rPr>
          <w:sz w:val="28"/>
        </w:rPr>
        <w:t>Nelle campagne l’abdicazione di Nicola II si diffuse lentamente a causa dell’inefficienza dei trasporti. I contadini rientrarono nelle comunità contadine considerate l’unica difesa e l’unico strumento di impadronirsi delle terre della nobiltà. La conseguenza principale nelle campagne fu il rafforzamento dell’</w:t>
      </w:r>
      <w:r>
        <w:rPr>
          <w:i/>
          <w:sz w:val="28"/>
        </w:rPr>
        <w:t>obscina</w:t>
      </w:r>
      <w:r>
        <w:rPr>
          <w:sz w:val="28"/>
        </w:rPr>
        <w:t xml:space="preserve"> e della solidarietà di villaggio in modo da conquistare le terre degli “altri” (proprietari terrieri, mercanti, funzionari di stato). il mondo rurale era in significativa mutazione sociale. Era la “rivoluzione di genere al maschile”: dopo il 1905 i giovani maschi si emancipavano dai vincoli del patriarcato e subentravano all’anziano della comunità.</w:t>
      </w:r>
    </w:p>
    <w:p w:rsidR="009B74EA" w:rsidRDefault="00D73147" w:rsidP="000B2651">
      <w:pPr>
        <w:jc w:val="both"/>
        <w:rPr>
          <w:sz w:val="28"/>
        </w:rPr>
      </w:pPr>
      <w:r>
        <w:rPr>
          <w:sz w:val="28"/>
        </w:rPr>
        <w:t xml:space="preserve">Lo smantellamento delle autorità tradizionali nelle campagne favoriva l’assunzione di iniziative personali ed autonome. La prospettiva del raccolto autunnale, la nomina di Cernov (SR) a ministro dell’Agricoltura, incoraggiò le confische di terra, le violenze, fomentate anche dai contadini-soldati reduci dalla guerra. I comitati di </w:t>
      </w:r>
      <w:r>
        <w:rPr>
          <w:i/>
          <w:sz w:val="28"/>
        </w:rPr>
        <w:t>volost</w:t>
      </w:r>
      <w:r>
        <w:rPr>
          <w:sz w:val="28"/>
        </w:rPr>
        <w:t xml:space="preserve"> furono uno strumento delle comunità di contadini per attuare le confische, ratificate dalle assemblee contadine provinciali. La debolezza del Governo Provvisorio permetteva il regolamento dei conti nelle campagne.</w:t>
      </w:r>
    </w:p>
    <w:p w:rsidR="00D73147" w:rsidRDefault="00D73147" w:rsidP="000B2651">
      <w:pPr>
        <w:jc w:val="both"/>
        <w:rPr>
          <w:sz w:val="28"/>
        </w:rPr>
      </w:pPr>
      <w:r>
        <w:rPr>
          <w:sz w:val="28"/>
        </w:rPr>
        <w:t>Come l 1905 divamparono i movimenti nazionali nelle periferie, rivendicazioni irrisolte già dal 1905. Però nel 1917 le terre di confine erano il teatro di guerra, se non addirittura conquistate dai Tedeschi, come Polonia e Lituania. Il colpo di Stato del 1907 e i processi di russificazione non avevano spento il nazionalismo delle periferie che divampò anche durante il conflitto.</w:t>
      </w:r>
    </w:p>
    <w:p w:rsidR="00D73147" w:rsidRDefault="00D73147" w:rsidP="000B2651">
      <w:pPr>
        <w:jc w:val="both"/>
        <w:rPr>
          <w:sz w:val="28"/>
        </w:rPr>
      </w:pPr>
      <w:r>
        <w:rPr>
          <w:sz w:val="28"/>
        </w:rPr>
        <w:lastRenderedPageBreak/>
        <w:t>Il Governo provvisorio era incapace di dare soddisfazione alle rivendicazioni autonomiste senza compromettere l’unità dello Stato, compromessa anche dagli Imperi</w:t>
      </w:r>
      <w:r w:rsidR="001A4A5C">
        <w:rPr>
          <w:sz w:val="28"/>
        </w:rPr>
        <w:t xml:space="preserve"> </w:t>
      </w:r>
      <w:r>
        <w:rPr>
          <w:sz w:val="28"/>
        </w:rPr>
        <w:t>centrali.</w:t>
      </w:r>
    </w:p>
    <w:p w:rsidR="001A4A5C" w:rsidRDefault="001A4A5C" w:rsidP="000B2651">
      <w:pPr>
        <w:jc w:val="both"/>
        <w:rPr>
          <w:sz w:val="28"/>
        </w:rPr>
      </w:pPr>
      <w:r>
        <w:rPr>
          <w:sz w:val="28"/>
        </w:rPr>
        <w:t>La mobilitazione nazionale dal Febbraio fu straordinaria. Interesso la frontiera occidentale, meridionale, l’area caucasica, le zone tatare e musulmane dell’Europa e dell’Asia centrale.</w:t>
      </w:r>
      <w:r w:rsidR="00DA4C78">
        <w:rPr>
          <w:sz w:val="28"/>
        </w:rPr>
        <w:t xml:space="preserve"> Le richieste di indipendenza erano solo richieste di tutela linguistica e culturale nelle regioni del Volga fino alle rivendicazioni federaliste degli ucraini.</w:t>
      </w:r>
    </w:p>
    <w:p w:rsidR="00DA4C78" w:rsidRDefault="00DA4C78" w:rsidP="000B2651">
      <w:pPr>
        <w:jc w:val="both"/>
        <w:rPr>
          <w:sz w:val="28"/>
        </w:rPr>
      </w:pPr>
      <w:r>
        <w:rPr>
          <w:sz w:val="28"/>
        </w:rPr>
        <w:t>Il Governo Provvisorio era aperto alle diverse nazionalità ma rinviò il giudizio alla futura Assemblea Costituente. Questa posizione radicalizzò le visioni autonomiste. Il parlamento finlandese alla fine di giugno si dichiarò indipendente, ma fu sciolto con forza dal Governo Provvisorio. Il 10 Giugno la Rada o consiglio ucraino promulgò la 1° “Universale”: una dichiarazione delle libertà ucraine in cui si auspicava l’elezione di un’assemblea nazionale sovrana e si istituiva un organo esecutivo autonomo, la Segreteria generale.</w:t>
      </w:r>
    </w:p>
    <w:p w:rsidR="00DA4C78" w:rsidRDefault="00DA4C78" w:rsidP="000B2651">
      <w:pPr>
        <w:jc w:val="both"/>
        <w:rPr>
          <w:sz w:val="28"/>
        </w:rPr>
      </w:pPr>
      <w:r>
        <w:rPr>
          <w:sz w:val="28"/>
        </w:rPr>
        <w:t>Il Governo Provvisorio si dividerà sulla questione della Rada: socialisti e cadetti si scontreranno su come procedere.</w:t>
      </w:r>
    </w:p>
    <w:p w:rsidR="00DA4C78" w:rsidRDefault="00DA4C78" w:rsidP="000B2651">
      <w:pPr>
        <w:pStyle w:val="Titolo2"/>
        <w:jc w:val="both"/>
        <w:rPr>
          <w:sz w:val="28"/>
        </w:rPr>
      </w:pPr>
      <w:bookmarkStart w:id="35" w:name="_Toc493625460"/>
      <w:r w:rsidRPr="00DA4C78">
        <w:rPr>
          <w:sz w:val="28"/>
        </w:rPr>
        <w:t>La rivoluzione dell’esercito e la questione della guerra e della pace</w:t>
      </w:r>
      <w:bookmarkEnd w:id="35"/>
    </w:p>
    <w:p w:rsidR="006B6D26" w:rsidRDefault="006B6D26" w:rsidP="000B2651">
      <w:pPr>
        <w:jc w:val="both"/>
        <w:rPr>
          <w:sz w:val="28"/>
        </w:rPr>
      </w:pPr>
      <w:r>
        <w:rPr>
          <w:sz w:val="28"/>
        </w:rPr>
        <w:t xml:space="preserve">Le ripercussioni della Rivoluzioni di Febbraio sull’esercito furono notevoli in merito all’Ordine n.1. </w:t>
      </w:r>
    </w:p>
    <w:p w:rsidR="006B6D26" w:rsidRDefault="006B6D26" w:rsidP="000B2651">
      <w:pPr>
        <w:jc w:val="both"/>
        <w:rPr>
          <w:sz w:val="28"/>
        </w:rPr>
      </w:pPr>
      <w:r>
        <w:rPr>
          <w:noProof/>
        </w:rPr>
        <w:drawing>
          <wp:inline distT="0" distB="0" distL="0" distR="0">
            <wp:extent cx="2904903" cy="2144085"/>
            <wp:effectExtent l="19050" t="0" r="0" b="0"/>
            <wp:docPr id="508" name="Immagine 508" descr="Risultati immagini per soldati russ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8" descr="Risultati immagini per soldati russi prima guerra mondiale"/>
                    <pic:cNvPicPr>
                      <a:picLocks noChangeAspect="1" noChangeArrowheads="1"/>
                    </pic:cNvPicPr>
                  </pic:nvPicPr>
                  <pic:blipFill>
                    <a:blip r:embed="rId164"/>
                    <a:srcRect/>
                    <a:stretch>
                      <a:fillRect/>
                    </a:stretch>
                  </pic:blipFill>
                  <pic:spPr bwMode="auto">
                    <a:xfrm>
                      <a:off x="0" y="0"/>
                      <a:ext cx="2919509" cy="2154866"/>
                    </a:xfrm>
                    <a:prstGeom prst="rect">
                      <a:avLst/>
                    </a:prstGeom>
                    <a:noFill/>
                    <a:ln w="9525">
                      <a:noFill/>
                      <a:miter lim="800000"/>
                      <a:headEnd/>
                      <a:tailEnd/>
                    </a:ln>
                  </pic:spPr>
                </pic:pic>
              </a:graphicData>
            </a:graphic>
          </wp:inline>
        </w:drawing>
      </w:r>
      <w:r>
        <w:rPr>
          <w:noProof/>
        </w:rPr>
        <w:drawing>
          <wp:inline distT="0" distB="0" distL="0" distR="0">
            <wp:extent cx="3119705" cy="2137144"/>
            <wp:effectExtent l="19050" t="0" r="4495" b="0"/>
            <wp:docPr id="511" name="Immagine 511" descr="Risultati immagini per soldati russi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Risultati immagini per soldati russi prima guerra mondiale"/>
                    <pic:cNvPicPr>
                      <a:picLocks noChangeAspect="1" noChangeArrowheads="1"/>
                    </pic:cNvPicPr>
                  </pic:nvPicPr>
                  <pic:blipFill>
                    <a:blip r:embed="rId165"/>
                    <a:srcRect/>
                    <a:stretch>
                      <a:fillRect/>
                    </a:stretch>
                  </pic:blipFill>
                  <pic:spPr bwMode="auto">
                    <a:xfrm>
                      <a:off x="0" y="0"/>
                      <a:ext cx="3121099" cy="2138099"/>
                    </a:xfrm>
                    <a:prstGeom prst="rect">
                      <a:avLst/>
                    </a:prstGeom>
                    <a:noFill/>
                    <a:ln w="9525">
                      <a:noFill/>
                      <a:miter lim="800000"/>
                      <a:headEnd/>
                      <a:tailEnd/>
                    </a:ln>
                  </pic:spPr>
                </pic:pic>
              </a:graphicData>
            </a:graphic>
          </wp:inline>
        </w:drawing>
      </w:r>
    </w:p>
    <w:p w:rsidR="000B6277" w:rsidRDefault="006B6D26" w:rsidP="000B2651">
      <w:pPr>
        <w:jc w:val="both"/>
        <w:rPr>
          <w:sz w:val="28"/>
        </w:rPr>
      </w:pPr>
      <w:r>
        <w:rPr>
          <w:sz w:val="28"/>
        </w:rPr>
        <w:t xml:space="preserve">La disciplina militare declinò, i soldati assunsero un atteggiamento ostile riguardo ai propri ufficiali. Insomma attuarono una rivoluzione sociale nelle trincee analoga a quella degli operai nelle città. I soldati-contadini perpetrarono intimidazioni, </w:t>
      </w:r>
      <w:r>
        <w:rPr>
          <w:sz w:val="28"/>
        </w:rPr>
        <w:lastRenderedPageBreak/>
        <w:t>minacce, violenze, assassinii nei confronti dei superiori. Fu minato il senso di uno sforzo bellico e di un sentimento patriottico contro i nemici. A primavera inoltrata cresceva il desiderio del rientro nelle comunità di villaggio in modo da spartirsi le terre e partecipare alle confische. Difatti molti soldati erano di estrazione contadina. La diserzione divenne fenomeno di massa. Il Fronte si stava sfaldando, mentre, nelle retrovie regnava il caos: molti erano tornati nei luoghi di origine, radicalizzati politicamente e molto violenti.</w:t>
      </w:r>
    </w:p>
    <w:p w:rsidR="006B6D26" w:rsidRDefault="006B6D26" w:rsidP="000B2651">
      <w:pPr>
        <w:jc w:val="both"/>
        <w:rPr>
          <w:sz w:val="28"/>
        </w:rPr>
      </w:pPr>
      <w:r>
        <w:rPr>
          <w:sz w:val="28"/>
        </w:rPr>
        <w:t>La scelta fra guerra e pace fu alla base della contraddizione del potere del Governo Provvisorio. Il ministro degli Esteri Miljukov ribadiva con forza la volontà di continuare la guerra cercando di tenere fede ai patti con gli Alleati (futuro controllo degli Stretti e di Costantinopoli). Il Soviet adottò la linea “del difensivismo rivoluzionario”</w:t>
      </w:r>
      <w:r w:rsidR="00077A6D">
        <w:rPr>
          <w:sz w:val="28"/>
        </w:rPr>
        <w:t>: visione classista di una “guerra all’imperialismo” ma soprattutto di una visione di pace senza annessioni e indennità. Questa linea fu approvata dal 1° Congresso pan russo dei Soviet. Solo i bolscevichi, minoritari nel Soviet, erano a favore dell’uscita immediata dalla guerra.</w:t>
      </w:r>
    </w:p>
    <w:p w:rsidR="00077A6D" w:rsidRDefault="00077A6D" w:rsidP="000B2651">
      <w:pPr>
        <w:jc w:val="both"/>
        <w:rPr>
          <w:sz w:val="28"/>
        </w:rPr>
      </w:pPr>
      <w:r>
        <w:rPr>
          <w:sz w:val="28"/>
        </w:rPr>
        <w:t>A metà aprile cadetti e socialisti moderati si scontrarono sulla questione della guerra mondiale. Miljukov rassicurava l’Intesa ma il Soviet aveva assunto altre posizioni sotto le posizioni di Cernov. Nel frattempo sfociarono altre manifestazioni di operai.</w:t>
      </w:r>
    </w:p>
    <w:p w:rsidR="00077A6D" w:rsidRDefault="00077A6D" w:rsidP="000B2651">
      <w:pPr>
        <w:jc w:val="both"/>
        <w:rPr>
          <w:sz w:val="28"/>
        </w:rPr>
      </w:pPr>
      <w:r>
        <w:rPr>
          <w:sz w:val="28"/>
        </w:rPr>
        <w:t>Il Governo provvisorio e il Soviet volevao ritornare all’ordine. Guckov, ministro della Guerra, e Miljukov, ministro degli esteri, rassegnarono le dimissioni. Il 5 maggio entrarono nel 1° governo di coalizione 5 ministri socialisti (Cernov-Agricoltura, Skobelev-Lavoro, Pereverzev-Giustizia, Pesekonov-Approvigionamento)</w:t>
      </w:r>
      <w:r w:rsidR="003A7B7A">
        <w:rPr>
          <w:sz w:val="28"/>
        </w:rPr>
        <w:t xml:space="preserve"> </w:t>
      </w:r>
      <w:r>
        <w:rPr>
          <w:sz w:val="28"/>
        </w:rPr>
        <w:t xml:space="preserve">. Kerenskij diventò ministro della guerra. </w:t>
      </w:r>
      <w:r w:rsidR="003A7B7A">
        <w:rPr>
          <w:sz w:val="28"/>
        </w:rPr>
        <w:t xml:space="preserve"> Il ministro delle Poste e Telegrafi, Iraklij Cereteli, era la personalità politica di spicco e assieme a L’vov era il vero artefice di questo ingresso socialista. Aveva vinto le resistenze del Soviet, che non voleva compromettersi.</w:t>
      </w:r>
    </w:p>
    <w:p w:rsidR="003A7B7A" w:rsidRDefault="003A7B7A" w:rsidP="000B2651">
      <w:pPr>
        <w:jc w:val="both"/>
        <w:rPr>
          <w:sz w:val="28"/>
        </w:rPr>
      </w:pPr>
      <w:r>
        <w:rPr>
          <w:sz w:val="28"/>
        </w:rPr>
        <w:t>Questa decisione polarizzò politicamente il paese:</w:t>
      </w:r>
    </w:p>
    <w:p w:rsidR="003A7B7A" w:rsidRDefault="003A7B7A" w:rsidP="000B2651">
      <w:pPr>
        <w:pStyle w:val="Paragrafoelenco"/>
        <w:numPr>
          <w:ilvl w:val="0"/>
          <w:numId w:val="48"/>
        </w:numPr>
        <w:jc w:val="both"/>
        <w:rPr>
          <w:sz w:val="28"/>
        </w:rPr>
      </w:pPr>
      <w:r>
        <w:rPr>
          <w:sz w:val="28"/>
        </w:rPr>
        <w:t>I cadetti assunsero posizioni di destra</w:t>
      </w:r>
    </w:p>
    <w:p w:rsidR="003A7B7A" w:rsidRPr="003A7B7A" w:rsidRDefault="003A7B7A" w:rsidP="000B2651">
      <w:pPr>
        <w:pStyle w:val="Paragrafoelenco"/>
        <w:numPr>
          <w:ilvl w:val="0"/>
          <w:numId w:val="48"/>
        </w:numPr>
        <w:jc w:val="both"/>
        <w:rPr>
          <w:sz w:val="28"/>
        </w:rPr>
      </w:pPr>
      <w:r>
        <w:rPr>
          <w:sz w:val="28"/>
        </w:rPr>
        <w:t>Menscevichi e rivoluzionari saranno esposti alle critiche della propaganda bolscevica</w:t>
      </w:r>
    </w:p>
    <w:p w:rsidR="00077A6D" w:rsidRPr="000B6277" w:rsidRDefault="00077A6D" w:rsidP="000B2651">
      <w:pPr>
        <w:jc w:val="both"/>
        <w:rPr>
          <w:sz w:val="28"/>
        </w:rPr>
      </w:pPr>
      <w:r>
        <w:rPr>
          <w:noProof/>
        </w:rPr>
        <w:lastRenderedPageBreak/>
        <w:drawing>
          <wp:inline distT="0" distB="0" distL="0" distR="0">
            <wp:extent cx="1491698" cy="2226606"/>
            <wp:effectExtent l="19050" t="0" r="0" b="0"/>
            <wp:docPr id="514" name="Immagine 514" descr="Alexander Kerensky LOC 244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Alexander Kerensky LOC 24416.jpg"/>
                    <pic:cNvPicPr>
                      <a:picLocks noChangeAspect="1" noChangeArrowheads="1"/>
                    </pic:cNvPicPr>
                  </pic:nvPicPr>
                  <pic:blipFill>
                    <a:blip r:embed="rId166"/>
                    <a:srcRect/>
                    <a:stretch>
                      <a:fillRect/>
                    </a:stretch>
                  </pic:blipFill>
                  <pic:spPr bwMode="auto">
                    <a:xfrm>
                      <a:off x="0" y="0"/>
                      <a:ext cx="1493752" cy="2229672"/>
                    </a:xfrm>
                    <a:prstGeom prst="rect">
                      <a:avLst/>
                    </a:prstGeom>
                    <a:noFill/>
                    <a:ln w="9525">
                      <a:noFill/>
                      <a:miter lim="800000"/>
                      <a:headEnd/>
                      <a:tailEnd/>
                    </a:ln>
                  </pic:spPr>
                </pic:pic>
              </a:graphicData>
            </a:graphic>
          </wp:inline>
        </w:drawing>
      </w:r>
      <w:r w:rsidR="003A7B7A">
        <w:rPr>
          <w:noProof/>
        </w:rPr>
        <w:drawing>
          <wp:inline distT="0" distB="0" distL="0" distR="0">
            <wp:extent cx="1796775" cy="2218414"/>
            <wp:effectExtent l="19050" t="0" r="0" b="0"/>
            <wp:docPr id="517" name="Immagine 517" descr="Irakly Tseret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Irakly Tsereteli.jpg"/>
                    <pic:cNvPicPr>
                      <a:picLocks noChangeAspect="1" noChangeArrowheads="1"/>
                    </pic:cNvPicPr>
                  </pic:nvPicPr>
                  <pic:blipFill>
                    <a:blip r:embed="rId167"/>
                    <a:srcRect/>
                    <a:stretch>
                      <a:fillRect/>
                    </a:stretch>
                  </pic:blipFill>
                  <pic:spPr bwMode="auto">
                    <a:xfrm>
                      <a:off x="0" y="0"/>
                      <a:ext cx="1796801" cy="2218447"/>
                    </a:xfrm>
                    <a:prstGeom prst="rect">
                      <a:avLst/>
                    </a:prstGeom>
                    <a:noFill/>
                    <a:ln w="9525">
                      <a:noFill/>
                      <a:miter lim="800000"/>
                      <a:headEnd/>
                      <a:tailEnd/>
                    </a:ln>
                  </pic:spPr>
                </pic:pic>
              </a:graphicData>
            </a:graphic>
          </wp:inline>
        </w:drawing>
      </w:r>
    </w:p>
    <w:p w:rsidR="00DA4C78" w:rsidRDefault="00542F67" w:rsidP="000B2651">
      <w:pPr>
        <w:pStyle w:val="Titolo1"/>
        <w:jc w:val="both"/>
      </w:pPr>
      <w:bookmarkStart w:id="36" w:name="_Toc493625461"/>
      <w:r>
        <w:t>7° Capitolo: La Rivoluzione di Ottobre</w:t>
      </w:r>
      <w:bookmarkEnd w:id="36"/>
    </w:p>
    <w:p w:rsidR="00542F67" w:rsidRDefault="00542F67" w:rsidP="000B2651">
      <w:pPr>
        <w:pStyle w:val="Titolo2"/>
        <w:jc w:val="both"/>
        <w:rPr>
          <w:sz w:val="28"/>
        </w:rPr>
      </w:pPr>
      <w:bookmarkStart w:id="37" w:name="_Toc493625462"/>
      <w:r>
        <w:rPr>
          <w:sz w:val="28"/>
        </w:rPr>
        <w:t>Dal ritorno di Lenin all’offensiva estiva</w:t>
      </w:r>
      <w:bookmarkEnd w:id="37"/>
    </w:p>
    <w:p w:rsidR="00542F67" w:rsidRDefault="00542F67" w:rsidP="000B2651">
      <w:pPr>
        <w:jc w:val="both"/>
        <w:rPr>
          <w:sz w:val="28"/>
        </w:rPr>
      </w:pPr>
      <w:r>
        <w:rPr>
          <w:sz w:val="28"/>
        </w:rPr>
        <w:t>Allo scoppio della Rivoluzione di Febbraio molti leader dei partiti rivoluzionari erano all’estero, in prigione o in esilio. Tornarono a Pietrogrado appena se ne presentò l’occasione. Trockij tornò a Marzo da New Yor, Cernov ad Aprile da Parigi, Martov a maggio da Zurigo. Lenin tornò alla fine di marzo da Zurigo.</w:t>
      </w:r>
    </w:p>
    <w:p w:rsidR="00542F67" w:rsidRDefault="00542F67" w:rsidP="000B2651">
      <w:pPr>
        <w:jc w:val="both"/>
        <w:rPr>
          <w:sz w:val="28"/>
        </w:rPr>
      </w:pPr>
      <w:r>
        <w:rPr>
          <w:noProof/>
        </w:rPr>
        <w:drawing>
          <wp:inline distT="0" distB="0" distL="0" distR="0">
            <wp:extent cx="1277012" cy="1751791"/>
            <wp:effectExtent l="19050" t="0" r="0" b="0"/>
            <wp:docPr id="520" name="Immagine 520" descr="Risultati immagini per troc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Risultati immagini per trockij"/>
                    <pic:cNvPicPr>
                      <a:picLocks noChangeAspect="1" noChangeArrowheads="1"/>
                    </pic:cNvPicPr>
                  </pic:nvPicPr>
                  <pic:blipFill>
                    <a:blip r:embed="rId168"/>
                    <a:srcRect/>
                    <a:stretch>
                      <a:fillRect/>
                    </a:stretch>
                  </pic:blipFill>
                  <pic:spPr bwMode="auto">
                    <a:xfrm>
                      <a:off x="0" y="0"/>
                      <a:ext cx="1278495" cy="1753825"/>
                    </a:xfrm>
                    <a:prstGeom prst="rect">
                      <a:avLst/>
                    </a:prstGeom>
                    <a:noFill/>
                    <a:ln w="9525">
                      <a:noFill/>
                      <a:miter lim="800000"/>
                      <a:headEnd/>
                      <a:tailEnd/>
                    </a:ln>
                  </pic:spPr>
                </pic:pic>
              </a:graphicData>
            </a:graphic>
          </wp:inline>
        </w:drawing>
      </w:r>
      <w:r>
        <w:rPr>
          <w:noProof/>
        </w:rPr>
        <w:drawing>
          <wp:inline distT="0" distB="0" distL="0" distR="0">
            <wp:extent cx="1078230" cy="1755956"/>
            <wp:effectExtent l="19050" t="0" r="7620" b="0"/>
            <wp:docPr id="30" name="Immagine 526" descr="Risultati immagi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Risultati immagini"/>
                    <pic:cNvPicPr>
                      <a:picLocks noChangeAspect="1" noChangeArrowheads="1"/>
                    </pic:cNvPicPr>
                  </pic:nvPicPr>
                  <pic:blipFill>
                    <a:blip r:embed="rId169"/>
                    <a:srcRect/>
                    <a:stretch>
                      <a:fillRect/>
                    </a:stretch>
                  </pic:blipFill>
                  <pic:spPr bwMode="auto">
                    <a:xfrm>
                      <a:off x="0" y="0"/>
                      <a:ext cx="1079934" cy="1758732"/>
                    </a:xfrm>
                    <a:prstGeom prst="rect">
                      <a:avLst/>
                    </a:prstGeom>
                    <a:noFill/>
                    <a:ln w="9525">
                      <a:noFill/>
                      <a:miter lim="800000"/>
                      <a:headEnd/>
                      <a:tailEnd/>
                    </a:ln>
                  </pic:spPr>
                </pic:pic>
              </a:graphicData>
            </a:graphic>
          </wp:inline>
        </w:drawing>
      </w:r>
      <w:r>
        <w:rPr>
          <w:noProof/>
        </w:rPr>
        <w:drawing>
          <wp:inline distT="0" distB="0" distL="0" distR="0">
            <wp:extent cx="1075078" cy="1757238"/>
            <wp:effectExtent l="19050" t="0" r="0" b="0"/>
            <wp:docPr id="32" name="Immagine 529" descr="Risultati immagini per mart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Risultati immagini per martov"/>
                    <pic:cNvPicPr>
                      <a:picLocks noChangeAspect="1" noChangeArrowheads="1"/>
                    </pic:cNvPicPr>
                  </pic:nvPicPr>
                  <pic:blipFill>
                    <a:blip r:embed="rId170"/>
                    <a:srcRect/>
                    <a:stretch>
                      <a:fillRect/>
                    </a:stretch>
                  </pic:blipFill>
                  <pic:spPr bwMode="auto">
                    <a:xfrm>
                      <a:off x="0" y="0"/>
                      <a:ext cx="1075131" cy="1757324"/>
                    </a:xfrm>
                    <a:prstGeom prst="rect">
                      <a:avLst/>
                    </a:prstGeom>
                    <a:noFill/>
                    <a:ln w="9525">
                      <a:noFill/>
                      <a:miter lim="800000"/>
                      <a:headEnd/>
                      <a:tailEnd/>
                    </a:ln>
                  </pic:spPr>
                </pic:pic>
              </a:graphicData>
            </a:graphic>
          </wp:inline>
        </w:drawing>
      </w:r>
      <w:r>
        <w:rPr>
          <w:noProof/>
        </w:rPr>
        <w:drawing>
          <wp:inline distT="0" distB="0" distL="0" distR="0">
            <wp:extent cx="1550591" cy="1749287"/>
            <wp:effectExtent l="19050" t="0" r="0" b="0"/>
            <wp:docPr id="523" name="Immagine 523" descr="Risultati immagini per l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Risultati immagini per lenin"/>
                    <pic:cNvPicPr>
                      <a:picLocks noChangeAspect="1" noChangeArrowheads="1"/>
                    </pic:cNvPicPr>
                  </pic:nvPicPr>
                  <pic:blipFill>
                    <a:blip r:embed="rId69"/>
                    <a:srcRect/>
                    <a:stretch>
                      <a:fillRect/>
                    </a:stretch>
                  </pic:blipFill>
                  <pic:spPr bwMode="auto">
                    <a:xfrm>
                      <a:off x="0" y="0"/>
                      <a:ext cx="1550498" cy="1749182"/>
                    </a:xfrm>
                    <a:prstGeom prst="rect">
                      <a:avLst/>
                    </a:prstGeom>
                    <a:noFill/>
                    <a:ln w="9525">
                      <a:noFill/>
                      <a:miter lim="800000"/>
                      <a:headEnd/>
                      <a:tailEnd/>
                    </a:ln>
                  </pic:spPr>
                </pic:pic>
              </a:graphicData>
            </a:graphic>
          </wp:inline>
        </w:drawing>
      </w:r>
    </w:p>
    <w:p w:rsidR="00542F67" w:rsidRDefault="00542F67" w:rsidP="000B2651">
      <w:pPr>
        <w:jc w:val="both"/>
        <w:rPr>
          <w:sz w:val="28"/>
        </w:rPr>
      </w:pPr>
      <w:r>
        <w:rPr>
          <w:sz w:val="28"/>
        </w:rPr>
        <w:t>Lenin</w:t>
      </w:r>
      <w:r w:rsidR="00845DF0">
        <w:rPr>
          <w:sz w:val="28"/>
        </w:rPr>
        <w:t xml:space="preserve"> tornò in patria aiutato dal governo tedesco, interessato a favorire propaganda di “disfattismo”. Lenin arrivò a Pietrogrado dalla Svezia in un treno piombato che aveva attraversato la Germania la sera del 3 Aprile. Fu ricevuto dal comitato di accoglienza abitualmente predisposto dal Soviet per gli esuli ritornati.</w:t>
      </w:r>
    </w:p>
    <w:p w:rsidR="00845DF0" w:rsidRDefault="00845DF0" w:rsidP="000B2651">
      <w:pPr>
        <w:jc w:val="both"/>
        <w:rPr>
          <w:sz w:val="28"/>
        </w:rPr>
      </w:pPr>
      <w:r>
        <w:rPr>
          <w:noProof/>
        </w:rPr>
        <w:lastRenderedPageBreak/>
        <w:drawing>
          <wp:inline distT="0" distB="0" distL="0" distR="0">
            <wp:extent cx="3088285" cy="2297927"/>
            <wp:effectExtent l="19050" t="0" r="0" b="0"/>
            <wp:docPr id="532" name="Immagine 532" descr="File:Lenin Tauride Pal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descr="File:Lenin Tauride Palace.jpg"/>
                    <pic:cNvPicPr>
                      <a:picLocks noChangeAspect="1" noChangeArrowheads="1"/>
                    </pic:cNvPicPr>
                  </pic:nvPicPr>
                  <pic:blipFill>
                    <a:blip r:embed="rId171"/>
                    <a:srcRect/>
                    <a:stretch>
                      <a:fillRect/>
                    </a:stretch>
                  </pic:blipFill>
                  <pic:spPr bwMode="auto">
                    <a:xfrm>
                      <a:off x="0" y="0"/>
                      <a:ext cx="3088285" cy="2297927"/>
                    </a:xfrm>
                    <a:prstGeom prst="rect">
                      <a:avLst/>
                    </a:prstGeom>
                    <a:noFill/>
                    <a:ln w="9525">
                      <a:noFill/>
                      <a:miter lim="800000"/>
                      <a:headEnd/>
                      <a:tailEnd/>
                    </a:ln>
                  </pic:spPr>
                </pic:pic>
              </a:graphicData>
            </a:graphic>
          </wp:inline>
        </w:drawing>
      </w:r>
      <w:r>
        <w:rPr>
          <w:noProof/>
        </w:rPr>
        <w:drawing>
          <wp:inline distT="0" distB="0" distL="0" distR="0">
            <wp:extent cx="2048290" cy="2290206"/>
            <wp:effectExtent l="19050" t="0" r="9110" b="0"/>
            <wp:docPr id="535" name="Immagine 535" descr="File:1918 Lev Kamenev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File:1918 Lev Kamenev (1).jpg"/>
                    <pic:cNvPicPr>
                      <a:picLocks noChangeAspect="1" noChangeArrowheads="1"/>
                    </pic:cNvPicPr>
                  </pic:nvPicPr>
                  <pic:blipFill>
                    <a:blip r:embed="rId172"/>
                    <a:srcRect/>
                    <a:stretch>
                      <a:fillRect/>
                    </a:stretch>
                  </pic:blipFill>
                  <pic:spPr bwMode="auto">
                    <a:xfrm>
                      <a:off x="0" y="0"/>
                      <a:ext cx="2053135" cy="2295624"/>
                    </a:xfrm>
                    <a:prstGeom prst="rect">
                      <a:avLst/>
                    </a:prstGeom>
                    <a:noFill/>
                    <a:ln w="9525">
                      <a:noFill/>
                      <a:miter lim="800000"/>
                      <a:headEnd/>
                      <a:tailEnd/>
                    </a:ln>
                  </pic:spPr>
                </pic:pic>
              </a:graphicData>
            </a:graphic>
          </wp:inline>
        </w:drawing>
      </w:r>
    </w:p>
    <w:p w:rsidR="00845DF0" w:rsidRDefault="00845DF0" w:rsidP="000B2651">
      <w:pPr>
        <w:jc w:val="both"/>
        <w:rPr>
          <w:sz w:val="28"/>
        </w:rPr>
      </w:pPr>
      <w:r>
        <w:rPr>
          <w:sz w:val="28"/>
        </w:rPr>
        <w:t xml:space="preserve">Lenin subito criticò il “difensivismo rivoluzionario”, la linea menscevica. Lenin cercava la rottura totale con il Governo Provvisorio. Sosteneva l’uscita dalla guerra, tutto il potere ai Soviet, superamento immediato della “fase borghese” della rivoluzione e instaurazione della dittatura del proletariato. Erano le idee pubblicate in marzo nelle </w:t>
      </w:r>
      <w:r>
        <w:rPr>
          <w:i/>
          <w:sz w:val="28"/>
        </w:rPr>
        <w:t>Lettere da Lontano</w:t>
      </w:r>
      <w:r>
        <w:rPr>
          <w:sz w:val="28"/>
        </w:rPr>
        <w:t xml:space="preserve"> (Censurate dalla “Pravda”) e in contrasto con il partito. Ritornato in patria le presentò in forma sintetica nelle famose </w:t>
      </w:r>
      <w:r>
        <w:rPr>
          <w:i/>
          <w:sz w:val="28"/>
        </w:rPr>
        <w:t>Tesi di aprile</w:t>
      </w:r>
      <w:r>
        <w:rPr>
          <w:sz w:val="28"/>
        </w:rPr>
        <w:t xml:space="preserve">, respinte dai menscevichi del Soviet. Lenin ebbe molta presa sul partito anche se era considerato un “eretico” per la sua “ortodossia marxista”. Le sue </w:t>
      </w:r>
      <w:r>
        <w:rPr>
          <w:i/>
          <w:sz w:val="28"/>
        </w:rPr>
        <w:t>Tesi</w:t>
      </w:r>
      <w:r>
        <w:rPr>
          <w:sz w:val="28"/>
        </w:rPr>
        <w:t xml:space="preserve"> conquistarono la maggioranza contro l’opposizione</w:t>
      </w:r>
      <w:r w:rsidR="00C475D5">
        <w:rPr>
          <w:sz w:val="28"/>
        </w:rPr>
        <w:t xml:space="preserve"> di Kamenev nel Congresso pan russo bolscevico del 24-29 aprile.</w:t>
      </w:r>
    </w:p>
    <w:p w:rsidR="00C475D5" w:rsidRDefault="00C475D5" w:rsidP="000B2651">
      <w:pPr>
        <w:jc w:val="both"/>
        <w:rPr>
          <w:sz w:val="28"/>
        </w:rPr>
      </w:pPr>
      <w:r>
        <w:rPr>
          <w:sz w:val="28"/>
        </w:rPr>
        <w:t>Lenin dovette tener conto dell’imprescindibilità di un lungo periodo di preparazione delle masse per realizzare la rivoluzione proletaria, altrimenti avrebbe sortito la controrivoluzione come nella Comune di Parigi. Il suo atteggiamento era in linea con operai e soldati sempre più insofferenti per il proseguire della guerra, infatti, questi chiedevano al Soviet di prendere una posizione immediata. Lenin voleva rompere ogni collaborazione politica e porre fine alla guerra “imperialista”.</w:t>
      </w:r>
    </w:p>
    <w:p w:rsidR="00C475D5" w:rsidRDefault="00C475D5" w:rsidP="000B2651">
      <w:pPr>
        <w:jc w:val="both"/>
        <w:rPr>
          <w:sz w:val="28"/>
        </w:rPr>
      </w:pPr>
      <w:r>
        <w:rPr>
          <w:noProof/>
        </w:rPr>
        <w:drawing>
          <wp:inline distT="0" distB="0" distL="0" distR="0">
            <wp:extent cx="6119357" cy="1780531"/>
            <wp:effectExtent l="19050" t="0" r="0" b="0"/>
            <wp:docPr id="541" name="Immagine 541" descr="Risultati immagini per sovi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Risultati immagini per soviet"/>
                    <pic:cNvPicPr>
                      <a:picLocks noChangeAspect="1" noChangeArrowheads="1"/>
                    </pic:cNvPicPr>
                  </pic:nvPicPr>
                  <pic:blipFill>
                    <a:blip r:embed="rId173"/>
                    <a:srcRect/>
                    <a:stretch>
                      <a:fillRect/>
                    </a:stretch>
                  </pic:blipFill>
                  <pic:spPr bwMode="auto">
                    <a:xfrm>
                      <a:off x="0" y="0"/>
                      <a:ext cx="6120130" cy="1780756"/>
                    </a:xfrm>
                    <a:prstGeom prst="rect">
                      <a:avLst/>
                    </a:prstGeom>
                    <a:noFill/>
                    <a:ln w="9525">
                      <a:noFill/>
                      <a:miter lim="800000"/>
                      <a:headEnd/>
                      <a:tailEnd/>
                    </a:ln>
                  </pic:spPr>
                </pic:pic>
              </a:graphicData>
            </a:graphic>
          </wp:inline>
        </w:drawing>
      </w:r>
    </w:p>
    <w:p w:rsidR="00C475D5" w:rsidRDefault="00C475D5" w:rsidP="000B2651">
      <w:pPr>
        <w:jc w:val="both"/>
        <w:rPr>
          <w:sz w:val="28"/>
        </w:rPr>
      </w:pPr>
      <w:r>
        <w:rPr>
          <w:sz w:val="28"/>
        </w:rPr>
        <w:lastRenderedPageBreak/>
        <w:t xml:space="preserve">In Aprile il 2° Governo provvisorio andò in crisi. I Bolscevichi aumentarono il proprio consenso fra operai, soldati, marinai (soprattutto giovani). Lenin conquistò le sue roccaforti rivoluzionarie. </w:t>
      </w:r>
      <w:r w:rsidR="00F34ED5">
        <w:rPr>
          <w:sz w:val="28"/>
        </w:rPr>
        <w:t>A metà maggio l</w:t>
      </w:r>
      <w:r>
        <w:rPr>
          <w:sz w:val="28"/>
        </w:rPr>
        <w:t>a base navale di Kronstadt si dichiarò autonoma e insorse contro il Governo provvisorio.</w:t>
      </w:r>
      <w:r w:rsidR="00F34ED5">
        <w:rPr>
          <w:sz w:val="28"/>
        </w:rPr>
        <w:t xml:space="preserve"> A metà giugno Vyborg il quartiere operaio insorse sotto il segno bolscevico.</w:t>
      </w:r>
    </w:p>
    <w:p w:rsidR="00F34ED5" w:rsidRDefault="00F34ED5" w:rsidP="000B2651">
      <w:pPr>
        <w:jc w:val="both"/>
        <w:rPr>
          <w:sz w:val="28"/>
        </w:rPr>
      </w:pPr>
      <w:r>
        <w:rPr>
          <w:sz w:val="28"/>
        </w:rPr>
        <w:t>Il Governo Provvisorio, intanto, lanciò l’offensiva estiva lungo il fronte occidentale nonostante le perplessità dello Stato Maggiore. Si sperava che una vittoria potesse rianimare il nuovo patriottismo democratico e di unire la Russia sotto il vessillo dell’ultima rivoluzione. Kerenskij, Ministro della Guerra, era il più infervorato su questo punto. Nominò il 18 maggio Aleksej Brusilov, comandante in capo delle forze armate, uno dei pochi che si era fatto onore in battaglia e aveva appoggiato la rivoluzione e mostrava di collaborare con le rappresentanze dei soldati.</w:t>
      </w:r>
    </w:p>
    <w:p w:rsidR="00F34ED5" w:rsidRDefault="00F34ED5" w:rsidP="000B2651">
      <w:pPr>
        <w:jc w:val="both"/>
        <w:rPr>
          <w:sz w:val="28"/>
        </w:rPr>
      </w:pPr>
      <w:r>
        <w:rPr>
          <w:noProof/>
        </w:rPr>
        <w:drawing>
          <wp:inline distT="0" distB="0" distL="0" distR="0">
            <wp:extent cx="3062059" cy="2329732"/>
            <wp:effectExtent l="19050" t="0" r="4991" b="0"/>
            <wp:docPr id="544" name="Immagine 544" descr="File:KéresnkiEnUnDiscursoALosSoldadosDelFrenteMayo1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4" descr="File:KéresnkiEnUnDiscursoALosSoldadosDelFrenteMayo1917.png"/>
                    <pic:cNvPicPr>
                      <a:picLocks noChangeAspect="1" noChangeArrowheads="1"/>
                    </pic:cNvPicPr>
                  </pic:nvPicPr>
                  <pic:blipFill>
                    <a:blip r:embed="rId174"/>
                    <a:srcRect/>
                    <a:stretch>
                      <a:fillRect/>
                    </a:stretch>
                  </pic:blipFill>
                  <pic:spPr bwMode="auto">
                    <a:xfrm>
                      <a:off x="0" y="0"/>
                      <a:ext cx="3062446" cy="2330026"/>
                    </a:xfrm>
                    <a:prstGeom prst="rect">
                      <a:avLst/>
                    </a:prstGeom>
                    <a:noFill/>
                    <a:ln w="9525">
                      <a:noFill/>
                      <a:miter lim="800000"/>
                      <a:headEnd/>
                      <a:tailEnd/>
                    </a:ln>
                  </pic:spPr>
                </pic:pic>
              </a:graphicData>
            </a:graphic>
          </wp:inline>
        </w:drawing>
      </w:r>
      <w:r>
        <w:rPr>
          <w:noProof/>
        </w:rPr>
        <w:drawing>
          <wp:inline distT="0" distB="0" distL="0" distR="0">
            <wp:extent cx="1679865" cy="2325108"/>
            <wp:effectExtent l="19050" t="0" r="0" b="0"/>
            <wp:docPr id="547" name="Immagine 547" descr="Risultati immagini per brusil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descr="Risultati immagini per brusilov"/>
                    <pic:cNvPicPr>
                      <a:picLocks noChangeAspect="1" noChangeArrowheads="1"/>
                    </pic:cNvPicPr>
                  </pic:nvPicPr>
                  <pic:blipFill>
                    <a:blip r:embed="rId175"/>
                    <a:srcRect/>
                    <a:stretch>
                      <a:fillRect/>
                    </a:stretch>
                  </pic:blipFill>
                  <pic:spPr bwMode="auto">
                    <a:xfrm>
                      <a:off x="0" y="0"/>
                      <a:ext cx="1683139" cy="2329639"/>
                    </a:xfrm>
                    <a:prstGeom prst="rect">
                      <a:avLst/>
                    </a:prstGeom>
                    <a:noFill/>
                    <a:ln w="9525">
                      <a:noFill/>
                      <a:miter lim="800000"/>
                      <a:headEnd/>
                      <a:tailEnd/>
                    </a:ln>
                  </pic:spPr>
                </pic:pic>
              </a:graphicData>
            </a:graphic>
          </wp:inline>
        </w:drawing>
      </w:r>
    </w:p>
    <w:p w:rsidR="00F34ED5" w:rsidRDefault="00F34ED5" w:rsidP="000B2651">
      <w:pPr>
        <w:jc w:val="both"/>
        <w:rPr>
          <w:sz w:val="28"/>
        </w:rPr>
      </w:pPr>
      <w:r>
        <w:rPr>
          <w:sz w:val="28"/>
        </w:rPr>
        <w:t>Kerenskij arringò le truppe con le sua oratoria per spingerle all’offensiva, cercò di sollevare il morale dei soldati e mediare con gli ufficiali. Ma le diserzioni subirono un’impennata una settimana prima dell’operazione.</w:t>
      </w:r>
    </w:p>
    <w:p w:rsidR="00F34ED5" w:rsidRDefault="00F34ED5" w:rsidP="000B2651">
      <w:pPr>
        <w:jc w:val="both"/>
        <w:rPr>
          <w:sz w:val="28"/>
        </w:rPr>
      </w:pPr>
      <w:r>
        <w:rPr>
          <w:sz w:val="28"/>
        </w:rPr>
        <w:t>Nella capitale solo i ceti medi risposero al nuovo spirito patriottico. Le manifestazioni dei Soviet per dare sostegno all’offensiva, invece, diventarono terreno di propaganda bolscevica in tono antigovernativo. Nel 1° Congresso pan russo dei Soviet, 3-23 giugno, i menscevichi erano ancora in maggioranza.</w:t>
      </w:r>
    </w:p>
    <w:p w:rsidR="00F34ED5" w:rsidRDefault="00F34ED5" w:rsidP="000B2651">
      <w:pPr>
        <w:jc w:val="both"/>
        <w:rPr>
          <w:sz w:val="28"/>
        </w:rPr>
      </w:pPr>
      <w:r>
        <w:rPr>
          <w:sz w:val="28"/>
        </w:rPr>
        <w:t xml:space="preserve">Il 18 giugno l’avanzata russa avanzò con successo sul fronte austro ungarico. Ma il 6 luglio </w:t>
      </w:r>
      <w:r w:rsidR="009D546B">
        <w:rPr>
          <w:sz w:val="28"/>
        </w:rPr>
        <w:t xml:space="preserve">la Germania </w:t>
      </w:r>
      <w:r>
        <w:rPr>
          <w:sz w:val="28"/>
        </w:rPr>
        <w:t>iniziò la controffensiva</w:t>
      </w:r>
      <w:r w:rsidR="009D546B">
        <w:rPr>
          <w:sz w:val="28"/>
        </w:rPr>
        <w:t xml:space="preserve">. Le truppe russe fuggirono e l’offensiva divenne una rotta disordinata, con molte perdite di uomini e di territorio. I soldati </w:t>
      </w:r>
      <w:r w:rsidR="009D546B">
        <w:rPr>
          <w:sz w:val="28"/>
        </w:rPr>
        <w:lastRenderedPageBreak/>
        <w:t>ora volevano davvero la pace. Le diserzioni aumentavano e il “bolscevismo di trincea” trionfava. Poneva le future premesse della storia Rivoluzione di ottobre.</w:t>
      </w:r>
    </w:p>
    <w:p w:rsidR="009D546B" w:rsidRDefault="00294FA4" w:rsidP="000B2651">
      <w:pPr>
        <w:pStyle w:val="Titolo2"/>
        <w:jc w:val="both"/>
        <w:rPr>
          <w:sz w:val="28"/>
        </w:rPr>
      </w:pPr>
      <w:bookmarkStart w:id="38" w:name="_Toc493625463"/>
      <w:r>
        <w:rPr>
          <w:sz w:val="28"/>
        </w:rPr>
        <w:t>La crisi di luglio e il fallimento dell’iniziativa di Kornilov</w:t>
      </w:r>
      <w:bookmarkEnd w:id="38"/>
    </w:p>
    <w:p w:rsidR="00294FA4" w:rsidRDefault="00294FA4" w:rsidP="000B2651">
      <w:pPr>
        <w:jc w:val="both"/>
        <w:rPr>
          <w:sz w:val="28"/>
        </w:rPr>
      </w:pPr>
      <w:r>
        <w:rPr>
          <w:sz w:val="28"/>
        </w:rPr>
        <w:t>La crisi di luglio fu alimentata anche dal precipitare della questione nazionale ucraina. All’offensiva russa di giugno, la Rada aveva proclamato l’indipendenza, proprio mentre si affrontava la Germania.</w:t>
      </w:r>
    </w:p>
    <w:p w:rsidR="00DF15E6" w:rsidRPr="00DF15E6" w:rsidRDefault="00FF6EFE" w:rsidP="000B2651">
      <w:pPr>
        <w:jc w:val="both"/>
        <w:rPr>
          <w:sz w:val="28"/>
        </w:rPr>
      </w:pPr>
      <w:r>
        <w:rPr>
          <w:sz w:val="28"/>
        </w:rPr>
        <w:t>I tre rappresentati del governo, fra cui Kerenskij, furono inviati a Kiev per le trattative il 2 luglio 1917. I negoziativi prevedevano l’autonomia ucraina e la legittimazione di Rada e Segretariato generale. La decisione fu approvata dal Governo Provvisorio e dai Soviet, ma i Cadetti la considerarono inaccettabile per l’integrità statale.</w:t>
      </w:r>
      <w:r w:rsidR="00DF15E6">
        <w:rPr>
          <w:sz w:val="28"/>
        </w:rPr>
        <w:t xml:space="preserve"> La crisi iniziò con le dimissione dei  3 ministri cadetti. Il principe L’vov prese atto del fallimento di tenere unita la coalizione. Prevalse il </w:t>
      </w:r>
      <w:r w:rsidR="00DF15E6">
        <w:rPr>
          <w:i/>
          <w:sz w:val="28"/>
        </w:rPr>
        <w:t>partijnost’,</w:t>
      </w:r>
      <w:r w:rsidR="00DF15E6">
        <w:rPr>
          <w:sz w:val="28"/>
        </w:rPr>
        <w:t xml:space="preserve"> lo spirito di partito. Mentre L’vov si dimetteva, una sollevazione popolare a Pietrogrado quasi divenne un colpo di Stato.</w:t>
      </w:r>
    </w:p>
    <w:p w:rsidR="00DF15E6" w:rsidRPr="00294FA4" w:rsidRDefault="00DF15E6" w:rsidP="000B2651">
      <w:pPr>
        <w:jc w:val="both"/>
        <w:rPr>
          <w:sz w:val="28"/>
        </w:rPr>
      </w:pPr>
      <w:r>
        <w:rPr>
          <w:noProof/>
        </w:rPr>
        <w:drawing>
          <wp:inline distT="0" distB="0" distL="0" distR="0">
            <wp:extent cx="5862370" cy="3769469"/>
            <wp:effectExtent l="19050" t="0" r="5030" b="0"/>
            <wp:docPr id="550" name="Immagine 550" descr="File:19170704 Riot on Nevsky prosp Petrog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File:19170704 Riot on Nevsky prosp Petrograd.jpg"/>
                    <pic:cNvPicPr>
                      <a:picLocks noChangeAspect="1" noChangeArrowheads="1"/>
                    </pic:cNvPicPr>
                  </pic:nvPicPr>
                  <pic:blipFill>
                    <a:blip r:embed="rId176"/>
                    <a:srcRect/>
                    <a:stretch>
                      <a:fillRect/>
                    </a:stretch>
                  </pic:blipFill>
                  <pic:spPr bwMode="auto">
                    <a:xfrm>
                      <a:off x="0" y="0"/>
                      <a:ext cx="5866519" cy="3772137"/>
                    </a:xfrm>
                    <a:prstGeom prst="rect">
                      <a:avLst/>
                    </a:prstGeom>
                    <a:noFill/>
                    <a:ln w="9525">
                      <a:noFill/>
                      <a:miter lim="800000"/>
                      <a:headEnd/>
                      <a:tailEnd/>
                    </a:ln>
                  </pic:spPr>
                </pic:pic>
              </a:graphicData>
            </a:graphic>
          </wp:inline>
        </w:drawing>
      </w:r>
      <w:r>
        <w:rPr>
          <w:rStyle w:val="Rimandonotaapidipagina"/>
          <w:sz w:val="28"/>
        </w:rPr>
        <w:footnoteReference w:id="46"/>
      </w:r>
    </w:p>
    <w:p w:rsidR="00785B36" w:rsidRDefault="00DF15E6" w:rsidP="000B2651">
      <w:pPr>
        <w:jc w:val="both"/>
        <w:rPr>
          <w:sz w:val="28"/>
        </w:rPr>
      </w:pPr>
      <w:r>
        <w:rPr>
          <w:sz w:val="28"/>
        </w:rPr>
        <w:t xml:space="preserve">Tra il 3 e il 5 luglio Pietrogrado fu in subbuglio. I mitraglieri e i marinai di Kronstadt era affluiti nella capitale e in poche ore paralizzarono i centri vitali del potere. Era </w:t>
      </w:r>
      <w:r>
        <w:rPr>
          <w:sz w:val="28"/>
        </w:rPr>
        <w:lastRenderedPageBreak/>
        <w:t>evidente che i militanti bolscevichi svolgevano un ruolo precipuo nell’insurrezione. Ma la dirigenza del partito nel momento cruciale si mostrò indecisa: Lenin, appena tornato dalla Finlandia, non prese le red</w:t>
      </w:r>
      <w:r w:rsidR="00666E12">
        <w:rPr>
          <w:sz w:val="28"/>
        </w:rPr>
        <w:t>ini del comando consapevolmente, forse aveva capito una possibile controrivoluzione. Anche il Soviet non compì il passo decisivo, lasciando alla futura propaganda bolscevica (“tutto il potere ai Soviet”) una futura maggioranza.</w:t>
      </w:r>
    </w:p>
    <w:p w:rsidR="00666E12" w:rsidRDefault="00666E12" w:rsidP="000B2651">
      <w:pPr>
        <w:jc w:val="both"/>
        <w:rPr>
          <w:sz w:val="28"/>
        </w:rPr>
      </w:pPr>
      <w:r>
        <w:rPr>
          <w:noProof/>
        </w:rPr>
        <w:drawing>
          <wp:inline distT="0" distB="0" distL="0" distR="0">
            <wp:extent cx="1209500" cy="1937792"/>
            <wp:effectExtent l="19050" t="0" r="0" b="0"/>
            <wp:docPr id="553" name="Immagine 553" descr="Grigorii Zinovieff 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3" descr="Grigorii Zinovieff 1920.jpg"/>
                    <pic:cNvPicPr>
                      <a:picLocks noChangeAspect="1" noChangeArrowheads="1"/>
                    </pic:cNvPicPr>
                  </pic:nvPicPr>
                  <pic:blipFill>
                    <a:blip r:embed="rId177" cstate="print"/>
                    <a:srcRect/>
                    <a:stretch>
                      <a:fillRect/>
                    </a:stretch>
                  </pic:blipFill>
                  <pic:spPr bwMode="auto">
                    <a:xfrm>
                      <a:off x="0" y="0"/>
                      <a:ext cx="1208848" cy="1936748"/>
                    </a:xfrm>
                    <a:prstGeom prst="rect">
                      <a:avLst/>
                    </a:prstGeom>
                    <a:noFill/>
                    <a:ln w="9525">
                      <a:noFill/>
                      <a:miter lim="800000"/>
                      <a:headEnd/>
                      <a:tailEnd/>
                    </a:ln>
                  </pic:spPr>
                </pic:pic>
              </a:graphicData>
            </a:graphic>
          </wp:inline>
        </w:drawing>
      </w:r>
      <w:r>
        <w:rPr>
          <w:noProof/>
        </w:rPr>
        <w:drawing>
          <wp:inline distT="0" distB="0" distL="0" distR="0">
            <wp:extent cx="1453735" cy="1937808"/>
            <wp:effectExtent l="19050" t="0" r="0" b="0"/>
            <wp:docPr id="556" name="Immagine 556" descr="Risultati immagini per len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Risultati immagini per lenin"/>
                    <pic:cNvPicPr>
                      <a:picLocks noChangeAspect="1" noChangeArrowheads="1"/>
                    </pic:cNvPicPr>
                  </pic:nvPicPr>
                  <pic:blipFill>
                    <a:blip r:embed="rId178" cstate="print"/>
                    <a:srcRect/>
                    <a:stretch>
                      <a:fillRect/>
                    </a:stretch>
                  </pic:blipFill>
                  <pic:spPr bwMode="auto">
                    <a:xfrm>
                      <a:off x="0" y="0"/>
                      <a:ext cx="1455200" cy="1939761"/>
                    </a:xfrm>
                    <a:prstGeom prst="rect">
                      <a:avLst/>
                    </a:prstGeom>
                    <a:noFill/>
                    <a:ln w="9525">
                      <a:noFill/>
                      <a:miter lim="800000"/>
                      <a:headEnd/>
                      <a:tailEnd/>
                    </a:ln>
                  </pic:spPr>
                </pic:pic>
              </a:graphicData>
            </a:graphic>
          </wp:inline>
        </w:drawing>
      </w:r>
      <w:r w:rsidR="00811F6C">
        <w:rPr>
          <w:noProof/>
        </w:rPr>
        <w:drawing>
          <wp:inline distT="0" distB="0" distL="0" distR="0">
            <wp:extent cx="1479254" cy="1935386"/>
            <wp:effectExtent l="19050" t="0" r="6646" b="0"/>
            <wp:docPr id="559" name="Immagine 559" descr="Risultati immagini per kornil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descr="Risultati immagini per kornilov"/>
                    <pic:cNvPicPr>
                      <a:picLocks noChangeAspect="1" noChangeArrowheads="1"/>
                    </pic:cNvPicPr>
                  </pic:nvPicPr>
                  <pic:blipFill>
                    <a:blip r:embed="rId179"/>
                    <a:srcRect/>
                    <a:stretch>
                      <a:fillRect/>
                    </a:stretch>
                  </pic:blipFill>
                  <pic:spPr bwMode="auto">
                    <a:xfrm>
                      <a:off x="0" y="0"/>
                      <a:ext cx="1482851" cy="1940093"/>
                    </a:xfrm>
                    <a:prstGeom prst="rect">
                      <a:avLst/>
                    </a:prstGeom>
                    <a:noFill/>
                    <a:ln w="9525">
                      <a:noFill/>
                      <a:miter lim="800000"/>
                      <a:headEnd/>
                      <a:tailEnd/>
                    </a:ln>
                  </pic:spPr>
                </pic:pic>
              </a:graphicData>
            </a:graphic>
          </wp:inline>
        </w:drawing>
      </w:r>
      <w:r w:rsidR="00E964C1">
        <w:rPr>
          <w:noProof/>
        </w:rPr>
        <w:drawing>
          <wp:inline distT="0" distB="0" distL="0" distR="0">
            <wp:extent cx="1338526" cy="1922953"/>
            <wp:effectExtent l="19050" t="0" r="0" b="0"/>
            <wp:docPr id="562" name="Immagine 562" descr="Risultati immagini per kerenski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descr="Risultati immagini per kerenskij"/>
                    <pic:cNvPicPr>
                      <a:picLocks noChangeAspect="1" noChangeArrowheads="1"/>
                    </pic:cNvPicPr>
                  </pic:nvPicPr>
                  <pic:blipFill>
                    <a:blip r:embed="rId180"/>
                    <a:srcRect/>
                    <a:stretch>
                      <a:fillRect/>
                    </a:stretch>
                  </pic:blipFill>
                  <pic:spPr bwMode="auto">
                    <a:xfrm>
                      <a:off x="0" y="0"/>
                      <a:ext cx="1339798" cy="1924781"/>
                    </a:xfrm>
                    <a:prstGeom prst="rect">
                      <a:avLst/>
                    </a:prstGeom>
                    <a:noFill/>
                    <a:ln w="9525">
                      <a:noFill/>
                      <a:miter lim="800000"/>
                      <a:headEnd/>
                      <a:tailEnd/>
                    </a:ln>
                  </pic:spPr>
                </pic:pic>
              </a:graphicData>
            </a:graphic>
          </wp:inline>
        </w:drawing>
      </w:r>
    </w:p>
    <w:p w:rsidR="00666E12" w:rsidRDefault="00666E12" w:rsidP="000B2651">
      <w:pPr>
        <w:jc w:val="both"/>
        <w:rPr>
          <w:sz w:val="28"/>
        </w:rPr>
      </w:pPr>
      <w:r>
        <w:rPr>
          <w:sz w:val="28"/>
        </w:rPr>
        <w:t>Il 6 luglio le autorità ripresero la città e Kerenskij ebbe l’incarico di formare un nuovo governo. I bolscevichi furono colpiti dalla repressione: centinaia di dirigenti furono arrestati. Lenin e Zinov’ev fuggirono in Finlandia. I bolscevichi erano considerati dalla stampa di destra come “gli agenti del nemico tedesco”. La stampa di destra chiedeva misure repressive intransigenti.</w:t>
      </w:r>
    </w:p>
    <w:p w:rsidR="00666E12" w:rsidRDefault="00666E12" w:rsidP="000B2651">
      <w:pPr>
        <w:jc w:val="both"/>
        <w:rPr>
          <w:sz w:val="28"/>
        </w:rPr>
      </w:pPr>
      <w:r>
        <w:rPr>
          <w:sz w:val="28"/>
        </w:rPr>
        <w:t>Secondo alcuni storici Lenin aveva già individuato l’obiettivo di una rivoluzione in Ottobre e cercò di ottenere un controllo del Soviet; altri storici i bolscevichi non avevano un piano preconfezionato e furono sorpresi dalle reazioni della piazza. Tutti gli storici sono concordi nel ritenere le “Giornate di Luglio” una crisi dei bolscevichi, guidati da Lenin. Però i menscevichi e i social rivoluzionari non consentirono che i bolscevichi fossero colpiti duramente.</w:t>
      </w:r>
      <w:r w:rsidR="00811F6C">
        <w:rPr>
          <w:sz w:val="28"/>
        </w:rPr>
        <w:t xml:space="preserve"> </w:t>
      </w:r>
    </w:p>
    <w:p w:rsidR="00811F6C" w:rsidRDefault="00811F6C" w:rsidP="000B2651">
      <w:pPr>
        <w:jc w:val="both"/>
        <w:rPr>
          <w:sz w:val="28"/>
        </w:rPr>
      </w:pPr>
      <w:r>
        <w:rPr>
          <w:sz w:val="28"/>
        </w:rPr>
        <w:t>Il 25 luglio Kerenskij formò un 2° Governo in cui confluivano socialisti e cadetti. L’esecutivo non era vincolato al Soviet. I socialisti che vi presero parte vi parteciparono a titolo personale. I Cadetti proposero il generale Lavr Kornilov come comandante per sostituire Brusilov. Kerenskij lo contattò. Si ridussero i diritti personali (associazione, riunione, introduzione pena di morte al fronte, ridimensionamento dei comitati dei soldati</w:t>
      </w:r>
      <w:r w:rsidR="00E964C1">
        <w:rPr>
          <w:sz w:val="28"/>
        </w:rPr>
        <w:t>). Kerenskij assumeva la posizione di una leadership con tratti autoritari. Fu abbandonato il palazzo di Taurdide. Il Governo si trasferiva al Palazzo d-Inverno, il Soviet si trasferiva all’Istituto Smolnyi.</w:t>
      </w:r>
    </w:p>
    <w:p w:rsidR="00E964C1" w:rsidRPr="00811F6C" w:rsidRDefault="00E964C1" w:rsidP="000B2651">
      <w:pPr>
        <w:jc w:val="both"/>
        <w:rPr>
          <w:sz w:val="28"/>
        </w:rPr>
      </w:pPr>
      <w:r>
        <w:rPr>
          <w:noProof/>
        </w:rPr>
        <w:lastRenderedPageBreak/>
        <w:drawing>
          <wp:inline distT="0" distB="0" distL="0" distR="0">
            <wp:extent cx="6124575" cy="4105379"/>
            <wp:effectExtent l="19050" t="0" r="9525" b="0"/>
            <wp:docPr id="574" name="Immagine 574" descr="Risultati immagini per palazzo d'inver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4" descr="Risultati immagini per palazzo d'inverno"/>
                    <pic:cNvPicPr>
                      <a:picLocks noChangeAspect="1" noChangeArrowheads="1"/>
                    </pic:cNvPicPr>
                  </pic:nvPicPr>
                  <pic:blipFill>
                    <a:blip r:embed="rId181"/>
                    <a:srcRect/>
                    <a:stretch>
                      <a:fillRect/>
                    </a:stretch>
                  </pic:blipFill>
                  <pic:spPr bwMode="auto">
                    <a:xfrm>
                      <a:off x="0" y="0"/>
                      <a:ext cx="6138703" cy="4114849"/>
                    </a:xfrm>
                    <a:prstGeom prst="rect">
                      <a:avLst/>
                    </a:prstGeom>
                    <a:noFill/>
                    <a:ln w="9525">
                      <a:noFill/>
                      <a:miter lim="800000"/>
                      <a:headEnd/>
                      <a:tailEnd/>
                    </a:ln>
                  </pic:spPr>
                </pic:pic>
              </a:graphicData>
            </a:graphic>
          </wp:inline>
        </w:drawing>
      </w:r>
      <w:r>
        <w:rPr>
          <w:noProof/>
        </w:rPr>
        <w:drawing>
          <wp:inline distT="0" distB="0" distL="0" distR="0">
            <wp:extent cx="6120130" cy="4085187"/>
            <wp:effectExtent l="19050" t="0" r="0" b="0"/>
            <wp:docPr id="577" name="Immagine 577" descr="Risultati immagini per istituto smoln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7" descr="Risultati immagini per istituto smolny"/>
                    <pic:cNvPicPr>
                      <a:picLocks noChangeAspect="1" noChangeArrowheads="1"/>
                    </pic:cNvPicPr>
                  </pic:nvPicPr>
                  <pic:blipFill>
                    <a:blip r:embed="rId182"/>
                    <a:srcRect/>
                    <a:stretch>
                      <a:fillRect/>
                    </a:stretch>
                  </pic:blipFill>
                  <pic:spPr bwMode="auto">
                    <a:xfrm>
                      <a:off x="0" y="0"/>
                      <a:ext cx="6120130" cy="4085187"/>
                    </a:xfrm>
                    <a:prstGeom prst="rect">
                      <a:avLst/>
                    </a:prstGeom>
                    <a:noFill/>
                    <a:ln w="9525">
                      <a:noFill/>
                      <a:miter lim="800000"/>
                      <a:headEnd/>
                      <a:tailEnd/>
                    </a:ln>
                  </pic:spPr>
                </pic:pic>
              </a:graphicData>
            </a:graphic>
          </wp:inline>
        </w:drawing>
      </w:r>
    </w:p>
    <w:p w:rsidR="00006094" w:rsidRDefault="0011425E" w:rsidP="000B2651">
      <w:pPr>
        <w:jc w:val="both"/>
        <w:rPr>
          <w:sz w:val="28"/>
        </w:rPr>
      </w:pPr>
      <w:r>
        <w:rPr>
          <w:sz w:val="28"/>
        </w:rPr>
        <w:t xml:space="preserve">Kornilov raccoglieva sempre più consensi negli ambienti moderati e di destra per la sua determinazione e per la disciplina dura imposta all’esercito. La popolarità </w:t>
      </w:r>
      <w:r>
        <w:rPr>
          <w:sz w:val="28"/>
        </w:rPr>
        <w:lastRenderedPageBreak/>
        <w:t>accrebbe quando impose a Kerenskij delle condizione per accettare la nomina a comandante in capo :</w:t>
      </w:r>
    </w:p>
    <w:p w:rsidR="0011425E" w:rsidRDefault="0011425E" w:rsidP="000B2651">
      <w:pPr>
        <w:pStyle w:val="Paragrafoelenco"/>
        <w:numPr>
          <w:ilvl w:val="0"/>
          <w:numId w:val="49"/>
        </w:numPr>
        <w:jc w:val="both"/>
        <w:rPr>
          <w:sz w:val="28"/>
        </w:rPr>
      </w:pPr>
      <w:r>
        <w:rPr>
          <w:sz w:val="28"/>
        </w:rPr>
        <w:t>Ripristino della pena di morte anche nelle retrovie</w:t>
      </w:r>
    </w:p>
    <w:p w:rsidR="0011425E" w:rsidRDefault="0011425E" w:rsidP="000B2651">
      <w:pPr>
        <w:pStyle w:val="Paragrafoelenco"/>
        <w:numPr>
          <w:ilvl w:val="0"/>
          <w:numId w:val="49"/>
        </w:numPr>
        <w:jc w:val="both"/>
        <w:rPr>
          <w:sz w:val="28"/>
        </w:rPr>
      </w:pPr>
      <w:r>
        <w:rPr>
          <w:sz w:val="28"/>
        </w:rPr>
        <w:t>Maggiore disciplina militare secondo il modello della militarizzazione dello Stato maggiore tedesco</w:t>
      </w:r>
    </w:p>
    <w:p w:rsidR="0011425E" w:rsidRDefault="0011425E" w:rsidP="000B2651">
      <w:pPr>
        <w:jc w:val="both"/>
        <w:rPr>
          <w:sz w:val="28"/>
        </w:rPr>
      </w:pPr>
      <w:r>
        <w:rPr>
          <w:sz w:val="28"/>
        </w:rPr>
        <w:t>Kerenskij accettò anche se fece promesse generiche, lo stesso Kornilov accettò. Intanto i Tedeschi conquistarono Riga il 21 Agosto. Kornilov chiese l’introduzione della legge marziale</w:t>
      </w:r>
      <w:r>
        <w:rPr>
          <w:rStyle w:val="Rimandonotaapidipagina"/>
          <w:sz w:val="28"/>
        </w:rPr>
        <w:footnoteReference w:id="47"/>
      </w:r>
      <w:r>
        <w:rPr>
          <w:sz w:val="28"/>
        </w:rPr>
        <w:t xml:space="preserve"> e il ripristino della pena di morte per i civili. Il Soviet si ribellò.</w:t>
      </w:r>
    </w:p>
    <w:p w:rsidR="0011425E" w:rsidRDefault="0011425E" w:rsidP="000B2651">
      <w:pPr>
        <w:jc w:val="both"/>
        <w:rPr>
          <w:sz w:val="28"/>
        </w:rPr>
      </w:pPr>
      <w:r>
        <w:rPr>
          <w:noProof/>
        </w:rPr>
        <w:drawing>
          <wp:inline distT="0" distB="0" distL="0" distR="0">
            <wp:extent cx="2676525" cy="2676525"/>
            <wp:effectExtent l="19050" t="0" r="9525" b="0"/>
            <wp:docPr id="1" name="Immagine 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magine correlata"/>
                    <pic:cNvPicPr>
                      <a:picLocks noChangeAspect="1" noChangeArrowheads="1"/>
                    </pic:cNvPicPr>
                  </pic:nvPicPr>
                  <pic:blipFill>
                    <a:blip r:embed="rId183"/>
                    <a:srcRect/>
                    <a:stretch>
                      <a:fillRect/>
                    </a:stretch>
                  </pic:blipFill>
                  <pic:spPr bwMode="auto">
                    <a:xfrm>
                      <a:off x="0" y="0"/>
                      <a:ext cx="2676525" cy="2676525"/>
                    </a:xfrm>
                    <a:prstGeom prst="rect">
                      <a:avLst/>
                    </a:prstGeom>
                    <a:noFill/>
                    <a:ln w="9525">
                      <a:noFill/>
                      <a:miter lim="800000"/>
                      <a:headEnd/>
                      <a:tailEnd/>
                    </a:ln>
                  </pic:spPr>
                </pic:pic>
              </a:graphicData>
            </a:graphic>
          </wp:inline>
        </w:drawing>
      </w:r>
      <w:r>
        <w:rPr>
          <w:noProof/>
        </w:rPr>
        <w:drawing>
          <wp:inline distT="0" distB="0" distL="0" distR="0">
            <wp:extent cx="2016560" cy="2676525"/>
            <wp:effectExtent l="19050" t="0" r="2740" b="0"/>
            <wp:docPr id="4" name="Immagine 4" descr="Risultati immagini per kerens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isultati immagini per kerensky"/>
                    <pic:cNvPicPr>
                      <a:picLocks noChangeAspect="1" noChangeArrowheads="1"/>
                    </pic:cNvPicPr>
                  </pic:nvPicPr>
                  <pic:blipFill>
                    <a:blip r:embed="rId184"/>
                    <a:srcRect/>
                    <a:stretch>
                      <a:fillRect/>
                    </a:stretch>
                  </pic:blipFill>
                  <pic:spPr bwMode="auto">
                    <a:xfrm>
                      <a:off x="0" y="0"/>
                      <a:ext cx="2016560" cy="2676525"/>
                    </a:xfrm>
                    <a:prstGeom prst="rect">
                      <a:avLst/>
                    </a:prstGeom>
                    <a:noFill/>
                    <a:ln w="9525">
                      <a:noFill/>
                      <a:miter lim="800000"/>
                      <a:headEnd/>
                      <a:tailEnd/>
                    </a:ln>
                  </pic:spPr>
                </pic:pic>
              </a:graphicData>
            </a:graphic>
          </wp:inline>
        </w:drawing>
      </w:r>
    </w:p>
    <w:p w:rsidR="004D7A7F" w:rsidRDefault="004D7A7F" w:rsidP="000B2651">
      <w:pPr>
        <w:jc w:val="both"/>
        <w:rPr>
          <w:sz w:val="28"/>
        </w:rPr>
      </w:pPr>
      <w:r>
        <w:rPr>
          <w:sz w:val="28"/>
        </w:rPr>
        <w:t>Nell’estate del 1907 Kerenskij provò ad alimentare un “culto della personalità”, ma le parti che lo appoggiarono erano in forti dissidio e compromisero la sua autorità. La conferenza di Stato consultiva del 12-14 agosto aprì la crisi: Kerenskij fu acclamato solo dalla sinistra, mentre la destra e i moderati sostenevano il vero uomo forte del regime, Kornilov.</w:t>
      </w:r>
    </w:p>
    <w:p w:rsidR="004D7A7F" w:rsidRDefault="004D7A7F" w:rsidP="000B2651">
      <w:pPr>
        <w:jc w:val="both"/>
        <w:rPr>
          <w:sz w:val="28"/>
        </w:rPr>
      </w:pPr>
      <w:r>
        <w:rPr>
          <w:sz w:val="28"/>
        </w:rPr>
        <w:lastRenderedPageBreak/>
        <w:t>Kornilov era divenuto troppo ingombrante per Kerenskij. Tutto ciò diede seguito al “tentativo di colpo di Stato di Kornilov”. Kerenskij era convinto che Kornilov volesse porre una dittatura militare, decise di anticiparlo e</w:t>
      </w:r>
      <w:r w:rsidR="00D33F47">
        <w:rPr>
          <w:sz w:val="28"/>
        </w:rPr>
        <w:t xml:space="preserve"> lo esautorò. Kornilov decise di marciare su Pietrogrado. Kerenskij invocò l’unità delle forze democratiche, compresi i bolscevichi. La controrivoluzione fu sventata. I militari furono bloccati dai ferrovieri grazie ai bolsceviche. Kornilov fu arrestato e rinchiuso nel monastero di Bykov.</w:t>
      </w:r>
    </w:p>
    <w:p w:rsidR="00D33F47" w:rsidRDefault="00D33F47" w:rsidP="000B2651">
      <w:pPr>
        <w:pStyle w:val="Titolo2"/>
        <w:jc w:val="both"/>
        <w:rPr>
          <w:sz w:val="28"/>
        </w:rPr>
      </w:pPr>
      <w:bookmarkStart w:id="39" w:name="_Toc493625464"/>
      <w:r>
        <w:rPr>
          <w:sz w:val="28"/>
        </w:rPr>
        <w:t>La rivoluzione di Ottobre</w:t>
      </w:r>
      <w:bookmarkEnd w:id="39"/>
    </w:p>
    <w:p w:rsidR="005B2EAA" w:rsidRDefault="005B2EAA" w:rsidP="000B2651">
      <w:pPr>
        <w:jc w:val="both"/>
        <w:rPr>
          <w:sz w:val="28"/>
        </w:rPr>
      </w:pPr>
      <w:r>
        <w:rPr>
          <w:sz w:val="28"/>
        </w:rPr>
        <w:t>La controrivoluzione ebbe due effetti:</w:t>
      </w:r>
    </w:p>
    <w:p w:rsidR="005B2EAA" w:rsidRDefault="005B2EAA" w:rsidP="00CB56C2">
      <w:pPr>
        <w:pStyle w:val="Paragrafoelenco"/>
        <w:numPr>
          <w:ilvl w:val="0"/>
          <w:numId w:val="50"/>
        </w:numPr>
        <w:jc w:val="both"/>
        <w:rPr>
          <w:sz w:val="28"/>
        </w:rPr>
      </w:pPr>
      <w:r>
        <w:rPr>
          <w:sz w:val="28"/>
        </w:rPr>
        <w:t>Riabilitò il partito bolscevico, la forza politica che aveva salato la rivoluzione da Kornilov</w:t>
      </w:r>
    </w:p>
    <w:p w:rsidR="005B2EAA" w:rsidRDefault="005B2EAA" w:rsidP="00CB56C2">
      <w:pPr>
        <w:pStyle w:val="Paragrafoelenco"/>
        <w:numPr>
          <w:ilvl w:val="0"/>
          <w:numId w:val="50"/>
        </w:numPr>
        <w:jc w:val="both"/>
        <w:rPr>
          <w:sz w:val="28"/>
        </w:rPr>
      </w:pPr>
      <w:r>
        <w:rPr>
          <w:sz w:val="28"/>
        </w:rPr>
        <w:t>Indebolimento del potere di Kerenskij e dell’intero Governo Provvisorio, ormai diviso al suo interno da dissidi</w:t>
      </w:r>
    </w:p>
    <w:p w:rsidR="005B2EAA" w:rsidRDefault="005B2EAA" w:rsidP="000B2651">
      <w:pPr>
        <w:jc w:val="both"/>
        <w:rPr>
          <w:sz w:val="28"/>
        </w:rPr>
      </w:pPr>
      <w:r>
        <w:rPr>
          <w:sz w:val="28"/>
        </w:rPr>
        <w:t>La rivolta contadina era divenuta violenta: molte tenute furono bruciate. Le esecuzioni di ufficiali al fronte moltiplicavano. Gli operai compivano violenze contro i “padroni” borghesi. La radicalizzazione sociale divampò a causa della delusione degli esiti della rivoluzione. La rivendicazione si traduceva come autodecisione popolare su più livelli. Questa concezione era molto vicina alla tradizione SR, la più radicante nella cultura contadina. Però i Bolscevichi si dichiaravano incondizionatamente a favore del potere dei Soviet. I Bolscevichi ottennero la maggioranza nelle Dume Municipali, nei Soviet locali e nel Soviet di Pietrogrado (</w:t>
      </w:r>
      <w:r>
        <w:rPr>
          <w:i/>
          <w:sz w:val="28"/>
        </w:rPr>
        <w:t>Ispolkom</w:t>
      </w:r>
      <w:r>
        <w:rPr>
          <w:sz w:val="28"/>
        </w:rPr>
        <w:t>, presieduto da Trockij).</w:t>
      </w:r>
    </w:p>
    <w:p w:rsidR="005B2EAA" w:rsidRDefault="005B2EAA" w:rsidP="000B2651">
      <w:pPr>
        <w:jc w:val="both"/>
        <w:rPr>
          <w:sz w:val="28"/>
        </w:rPr>
      </w:pPr>
      <w:r>
        <w:rPr>
          <w:sz w:val="28"/>
        </w:rPr>
        <w:t xml:space="preserve">La Rivoluzione di Febbraio aveva mostrato tutta la sua debolezza. La conferenza democratica organizzata dal Soviet a Settembre sancì l’impossibilità di una coalizione menscevica, social rivoluzionaria, bolscevica. Lenin voleva ricorrere alle armi, mentre, le altre forze erano indecise. Il governo </w:t>
      </w:r>
      <w:r w:rsidR="00E65707">
        <w:rPr>
          <w:sz w:val="28"/>
        </w:rPr>
        <w:t>sopravvalutava le proprie forze, pensava che una possibile rivoluzione bolscevica fosse un fiasco. Kerenskij indicava ancora la via della guerra come possibile.</w:t>
      </w:r>
    </w:p>
    <w:p w:rsidR="00E65707" w:rsidRDefault="00E65707" w:rsidP="000B2651">
      <w:pPr>
        <w:jc w:val="both"/>
        <w:rPr>
          <w:sz w:val="28"/>
        </w:rPr>
      </w:pPr>
      <w:r>
        <w:rPr>
          <w:sz w:val="28"/>
        </w:rPr>
        <w:t>A metà Ottobre Lenin voleva ricorrere alle armi, ma parte della dirigenza e i bolscevichi lettoni (i più fedeli allo statista) erano riluttanti. Credevano che era necessario attendere l’esito del 2° Congresso pan russo dei Soviet, previsto per il 20 Ottobre. Fu rinviato al 25 Ottobre: fu una dilazione decisiva.</w:t>
      </w:r>
    </w:p>
    <w:p w:rsidR="00E65707" w:rsidRPr="00E65707" w:rsidRDefault="00E65707" w:rsidP="000B2651">
      <w:pPr>
        <w:jc w:val="both"/>
        <w:rPr>
          <w:sz w:val="28"/>
        </w:rPr>
      </w:pPr>
      <w:r>
        <w:rPr>
          <w:sz w:val="28"/>
        </w:rPr>
        <w:lastRenderedPageBreak/>
        <w:t>Il Comitato rivoluzionario militare (</w:t>
      </w:r>
      <w:r>
        <w:rPr>
          <w:i/>
          <w:sz w:val="28"/>
        </w:rPr>
        <w:t>Milrevkom</w:t>
      </w:r>
      <w:r>
        <w:rPr>
          <w:sz w:val="28"/>
        </w:rPr>
        <w:t xml:space="preserve">), organo militare e di difesa rivoluzionaria del Soviet, composto da bolscevichi e pochi SR, si autoproclamò suprema autorità militare della capitale. Seguendo la voce che la capitale stava passando in mani tedesche per ripulirla della “zavorra rivoluzionaria”, i soldati di Pietrogrado si unirono al </w:t>
      </w:r>
      <w:r>
        <w:rPr>
          <w:i/>
          <w:sz w:val="28"/>
        </w:rPr>
        <w:t>Milrevkom</w:t>
      </w:r>
      <w:r>
        <w:rPr>
          <w:sz w:val="28"/>
        </w:rPr>
        <w:t>. Il governo già fra 23 e il 24 Ottobre aveva perso la sovranità della città.</w:t>
      </w:r>
    </w:p>
    <w:p w:rsidR="00D33F47" w:rsidRPr="00D33F47" w:rsidRDefault="00D33F47" w:rsidP="000B2651">
      <w:pPr>
        <w:jc w:val="both"/>
        <w:rPr>
          <w:sz w:val="28"/>
        </w:rPr>
      </w:pPr>
      <w:r>
        <w:rPr>
          <w:noProof/>
        </w:rPr>
        <w:drawing>
          <wp:inline distT="0" distB="0" distL="0" distR="0">
            <wp:extent cx="5934075" cy="3267075"/>
            <wp:effectExtent l="19050" t="0" r="9525" b="0"/>
            <wp:docPr id="2" name="Immagine 7" descr="File:Stormningen av vinterpalats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Stormningen av vinterpalatset.jpg"/>
                    <pic:cNvPicPr>
                      <a:picLocks noChangeAspect="1" noChangeArrowheads="1"/>
                    </pic:cNvPicPr>
                  </pic:nvPicPr>
                  <pic:blipFill>
                    <a:blip r:embed="rId185"/>
                    <a:srcRect/>
                    <a:stretch>
                      <a:fillRect/>
                    </a:stretch>
                  </pic:blipFill>
                  <pic:spPr bwMode="auto">
                    <a:xfrm>
                      <a:off x="0" y="0"/>
                      <a:ext cx="5934075" cy="3267075"/>
                    </a:xfrm>
                    <a:prstGeom prst="rect">
                      <a:avLst/>
                    </a:prstGeom>
                    <a:noFill/>
                    <a:ln w="9525">
                      <a:noFill/>
                      <a:miter lim="800000"/>
                      <a:headEnd/>
                      <a:tailEnd/>
                    </a:ln>
                  </pic:spPr>
                </pic:pic>
              </a:graphicData>
            </a:graphic>
          </wp:inline>
        </w:drawing>
      </w:r>
    </w:p>
    <w:p w:rsidR="0011425E" w:rsidRDefault="00E65707" w:rsidP="000B2651">
      <w:pPr>
        <w:jc w:val="both"/>
        <w:rPr>
          <w:sz w:val="28"/>
        </w:rPr>
      </w:pPr>
      <w:r>
        <w:rPr>
          <w:sz w:val="28"/>
        </w:rPr>
        <w:t xml:space="preserve">Lenin era determinato a prendere il potere prima dell’apertura del Congresso pan russo dei Soviet, previsto per il 25. Lenin e i suoi agirono fra la notte del 24 e il 25. L’azione del </w:t>
      </w:r>
      <w:r>
        <w:rPr>
          <w:i/>
          <w:sz w:val="28"/>
        </w:rPr>
        <w:t>Milrevkom</w:t>
      </w:r>
      <w:r>
        <w:rPr>
          <w:sz w:val="28"/>
        </w:rPr>
        <w:t xml:space="preserve"> non fu avvertita in città, ma i bolscevichi conquistarono tutte le postazioni strategiche (ponti, poste, stazioni).</w:t>
      </w:r>
      <w:r w:rsidR="005C330A">
        <w:rPr>
          <w:sz w:val="28"/>
        </w:rPr>
        <w:t xml:space="preserve"> L’azione fu svolta da poche migliaia di persone. Il 25 Ottobre Kerenskij scappò da Pietrogrado e Lenin destituì il Governo Provvisorio e proclamava l’assunzione del potere da parte del </w:t>
      </w:r>
      <w:r w:rsidR="005C330A">
        <w:rPr>
          <w:i/>
          <w:sz w:val="28"/>
        </w:rPr>
        <w:t>Milrevkom</w:t>
      </w:r>
      <w:r w:rsidR="005C330A">
        <w:rPr>
          <w:sz w:val="28"/>
        </w:rPr>
        <w:t xml:space="preserve"> in nome del Soviet. La sera del 25 Ottobre fu espugnato il Palazzo d’Inverno, grazie all’unico sparo dell’incrociatore Aurora. I ministri furono tutti arrestati. Invece gli scontri al Cremlino di Mosca durarono vari giorni.</w:t>
      </w:r>
    </w:p>
    <w:p w:rsidR="005C330A" w:rsidRDefault="005C330A" w:rsidP="000B2651">
      <w:pPr>
        <w:jc w:val="both"/>
        <w:rPr>
          <w:sz w:val="28"/>
        </w:rPr>
      </w:pPr>
    </w:p>
    <w:p w:rsidR="005C330A" w:rsidRDefault="005C330A" w:rsidP="000B2651">
      <w:pPr>
        <w:jc w:val="both"/>
        <w:rPr>
          <w:sz w:val="28"/>
        </w:rPr>
      </w:pPr>
      <w:r>
        <w:rPr>
          <w:noProof/>
        </w:rPr>
        <w:lastRenderedPageBreak/>
        <w:drawing>
          <wp:inline distT="0" distB="0" distL="0" distR="0">
            <wp:extent cx="6120130" cy="3062361"/>
            <wp:effectExtent l="19050" t="0" r="0" b="0"/>
            <wp:docPr id="3" name="Immagine 10" descr="Risultati immagini per aurora incrociato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Risultati immagini per aurora incrociatore"/>
                    <pic:cNvPicPr>
                      <a:picLocks noChangeAspect="1" noChangeArrowheads="1"/>
                    </pic:cNvPicPr>
                  </pic:nvPicPr>
                  <pic:blipFill>
                    <a:blip r:embed="rId186"/>
                    <a:srcRect/>
                    <a:stretch>
                      <a:fillRect/>
                    </a:stretch>
                  </pic:blipFill>
                  <pic:spPr bwMode="auto">
                    <a:xfrm>
                      <a:off x="0" y="0"/>
                      <a:ext cx="6120130" cy="3062361"/>
                    </a:xfrm>
                    <a:prstGeom prst="rect">
                      <a:avLst/>
                    </a:prstGeom>
                    <a:noFill/>
                    <a:ln w="9525">
                      <a:noFill/>
                      <a:miter lim="800000"/>
                      <a:headEnd/>
                      <a:tailEnd/>
                    </a:ln>
                  </pic:spPr>
                </pic:pic>
              </a:graphicData>
            </a:graphic>
          </wp:inline>
        </w:drawing>
      </w:r>
    </w:p>
    <w:p w:rsidR="005C330A" w:rsidRDefault="005C330A" w:rsidP="000B2651">
      <w:pPr>
        <w:jc w:val="both"/>
        <w:rPr>
          <w:sz w:val="28"/>
        </w:rPr>
      </w:pPr>
      <w:r>
        <w:rPr>
          <w:sz w:val="28"/>
        </w:rPr>
        <w:t>Il Congresso pan russo dei Soviet ebbe luogo la sera del 25 Ottobre. Menscevichi e SR abbandonarono i lavori. La presa della città avvenne nel nome del Soviet di Pietrogrado. La seduta del 26 Ottobre furono approvati</w:t>
      </w:r>
      <w:r w:rsidR="00CB52E9">
        <w:rPr>
          <w:sz w:val="28"/>
        </w:rPr>
        <w:t xml:space="preserve"> 3</w:t>
      </w:r>
      <w:r>
        <w:rPr>
          <w:sz w:val="28"/>
        </w:rPr>
        <w:t xml:space="preserve"> decreti:</w:t>
      </w:r>
    </w:p>
    <w:p w:rsidR="005C330A" w:rsidRDefault="005C330A" w:rsidP="00CB56C2">
      <w:pPr>
        <w:pStyle w:val="Paragrafoelenco"/>
        <w:numPr>
          <w:ilvl w:val="0"/>
          <w:numId w:val="51"/>
        </w:numPr>
        <w:jc w:val="both"/>
        <w:rPr>
          <w:sz w:val="28"/>
        </w:rPr>
      </w:pPr>
      <w:r>
        <w:rPr>
          <w:sz w:val="28"/>
        </w:rPr>
        <w:t>Decreto pace: immediata sospensione della 1° Guerra Mondiale e inizio delle trattative di pace “senza annessione e indennità”. Ratificata anche la salvaguardia del diritto all’autodeterminazione delle nazioni</w:t>
      </w:r>
    </w:p>
    <w:p w:rsidR="005C330A" w:rsidRDefault="005C330A" w:rsidP="00CB56C2">
      <w:pPr>
        <w:pStyle w:val="Paragrafoelenco"/>
        <w:numPr>
          <w:ilvl w:val="0"/>
          <w:numId w:val="51"/>
        </w:numPr>
        <w:jc w:val="both"/>
        <w:rPr>
          <w:sz w:val="28"/>
        </w:rPr>
      </w:pPr>
      <w:r>
        <w:rPr>
          <w:sz w:val="28"/>
        </w:rPr>
        <w:t xml:space="preserve">Decreto terra: </w:t>
      </w:r>
      <w:r w:rsidR="00CB52E9">
        <w:rPr>
          <w:sz w:val="28"/>
        </w:rPr>
        <w:t>ratifica del programma di “socializzazione” della terra in base al progetto degli SR (quello bolscevico prevedeva la “nazionalizazione”), quindi si legittimavano le appropriazioni dei contadini  (confisca dei terreni dei proprietari, della Chiesa e dello Stato)</w:t>
      </w:r>
    </w:p>
    <w:p w:rsidR="00CB52E9" w:rsidRDefault="00CB52E9" w:rsidP="00CB56C2">
      <w:pPr>
        <w:pStyle w:val="Paragrafoelenco"/>
        <w:numPr>
          <w:ilvl w:val="0"/>
          <w:numId w:val="51"/>
        </w:numPr>
        <w:jc w:val="both"/>
        <w:rPr>
          <w:sz w:val="28"/>
        </w:rPr>
      </w:pPr>
      <w:r>
        <w:rPr>
          <w:sz w:val="28"/>
        </w:rPr>
        <w:t xml:space="preserve">Decreto sulla formazione del nuovo governo: il </w:t>
      </w:r>
      <w:r>
        <w:rPr>
          <w:i/>
          <w:sz w:val="28"/>
        </w:rPr>
        <w:t>Sovnarkom</w:t>
      </w:r>
      <w:r>
        <w:rPr>
          <w:sz w:val="28"/>
        </w:rPr>
        <w:t xml:space="preserve"> (Consiglio dei commissari del popolo) doveva rimanere in carica prima della convocazione dell’Assemblea Costituente. La formazione era simile al Governo Provvisorio ma con un eccezione: il “ministero” per le nazionalità, affidato a Josif Dzufasvili Stalin. Capo del </w:t>
      </w:r>
      <w:r>
        <w:rPr>
          <w:i/>
          <w:sz w:val="28"/>
        </w:rPr>
        <w:t xml:space="preserve">Sovnarkom </w:t>
      </w:r>
      <w:r>
        <w:rPr>
          <w:sz w:val="28"/>
        </w:rPr>
        <w:t>e del Comitato Centrale bolscevico era ovviamente Lenin</w:t>
      </w:r>
    </w:p>
    <w:p w:rsidR="00CB52E9" w:rsidRDefault="00A31866" w:rsidP="000B2651">
      <w:pPr>
        <w:jc w:val="both"/>
        <w:rPr>
          <w:sz w:val="28"/>
        </w:rPr>
      </w:pPr>
      <w:r>
        <w:rPr>
          <w:noProof/>
        </w:rPr>
        <w:lastRenderedPageBreak/>
        <w:drawing>
          <wp:inline distT="0" distB="0" distL="0" distR="0">
            <wp:extent cx="6120130" cy="4405991"/>
            <wp:effectExtent l="19050" t="0" r="0" b="0"/>
            <wp:docPr id="19" name="Immagine 19" descr="Risultati immagini per rivoluzione di otto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isultati immagini per rivoluzione di ottobre"/>
                    <pic:cNvPicPr>
                      <a:picLocks noChangeAspect="1" noChangeArrowheads="1"/>
                    </pic:cNvPicPr>
                  </pic:nvPicPr>
                  <pic:blipFill>
                    <a:blip r:embed="rId187"/>
                    <a:srcRect/>
                    <a:stretch>
                      <a:fillRect/>
                    </a:stretch>
                  </pic:blipFill>
                  <pic:spPr bwMode="auto">
                    <a:xfrm>
                      <a:off x="0" y="0"/>
                      <a:ext cx="6120130" cy="4405991"/>
                    </a:xfrm>
                    <a:prstGeom prst="rect">
                      <a:avLst/>
                    </a:prstGeom>
                    <a:noFill/>
                    <a:ln w="9525">
                      <a:noFill/>
                      <a:miter lim="800000"/>
                      <a:headEnd/>
                      <a:tailEnd/>
                    </a:ln>
                  </pic:spPr>
                </pic:pic>
              </a:graphicData>
            </a:graphic>
          </wp:inline>
        </w:drawing>
      </w:r>
    </w:p>
    <w:p w:rsidR="00A31866" w:rsidRDefault="00A31866" w:rsidP="000B2651">
      <w:pPr>
        <w:pStyle w:val="Titolo2"/>
        <w:jc w:val="both"/>
        <w:rPr>
          <w:sz w:val="28"/>
        </w:rPr>
      </w:pPr>
      <w:bookmarkStart w:id="40" w:name="_Toc493625465"/>
      <w:r>
        <w:rPr>
          <w:sz w:val="28"/>
        </w:rPr>
        <w:t>I bolscevichi al potere: dalle elezioni di novembre a Brest-Litovsk</w:t>
      </w:r>
      <w:bookmarkEnd w:id="40"/>
    </w:p>
    <w:p w:rsidR="00A31866" w:rsidRDefault="009A157F" w:rsidP="000B2651">
      <w:pPr>
        <w:jc w:val="both"/>
        <w:rPr>
          <w:sz w:val="28"/>
        </w:rPr>
      </w:pPr>
      <w:r>
        <w:rPr>
          <w:sz w:val="28"/>
        </w:rPr>
        <w:t xml:space="preserve">Il </w:t>
      </w:r>
      <w:r>
        <w:rPr>
          <w:i/>
          <w:sz w:val="28"/>
        </w:rPr>
        <w:t>Milrevkom</w:t>
      </w:r>
      <w:r>
        <w:rPr>
          <w:sz w:val="28"/>
        </w:rPr>
        <w:t xml:space="preserve"> svolse anche funzioni esecutive a Novembre. L’opposizione della burocrazia fu dissolta in modo draconico. Molte furono le epurazioni e rigido era il controllo dei commissari politici. La promozione sociale era un coagulante sfruttato per espandere il proprio bacino di consenso. </w:t>
      </w:r>
    </w:p>
    <w:p w:rsidR="009A157F" w:rsidRDefault="009A157F" w:rsidP="000B2651">
      <w:pPr>
        <w:jc w:val="both"/>
        <w:rPr>
          <w:sz w:val="28"/>
        </w:rPr>
      </w:pPr>
      <w:r>
        <w:rPr>
          <w:sz w:val="28"/>
        </w:rPr>
        <w:t>Molti prevedevano la caduta dei bolscevichi. I bolscevichi rimasero molto isolati. Incontravano l’ostilità delle altre forze politiche e nelle campagne non avevano molto consenso. Però in soli 3 mesi consolidarono il proprio dominio grazie al carisma di Lenin.</w:t>
      </w:r>
      <w:r w:rsidR="00417FCB">
        <w:rPr>
          <w:sz w:val="28"/>
        </w:rPr>
        <w:t xml:space="preserve"> I Bolscevichi demolirono la macchina statale:</w:t>
      </w:r>
    </w:p>
    <w:p w:rsidR="00417FCB" w:rsidRDefault="00417FCB" w:rsidP="00CB56C2">
      <w:pPr>
        <w:pStyle w:val="Paragrafoelenco"/>
        <w:numPr>
          <w:ilvl w:val="0"/>
          <w:numId w:val="52"/>
        </w:numPr>
        <w:jc w:val="both"/>
        <w:rPr>
          <w:sz w:val="28"/>
        </w:rPr>
      </w:pPr>
      <w:r>
        <w:rPr>
          <w:sz w:val="28"/>
        </w:rPr>
        <w:t>A livello locale favorivano la democrazia diretta (Soviet, assemblee di villaggio, comitati di fabbrica e soldati): così sottraevano il retroterra rivoluzionario degli altri gruppi. Fomentavano disordine che sarebbe stato ripristinato dal controllo centrale della propria direzione</w:t>
      </w:r>
    </w:p>
    <w:p w:rsidR="00417FCB" w:rsidRPr="00417FCB" w:rsidRDefault="00417FCB" w:rsidP="00CB56C2">
      <w:pPr>
        <w:pStyle w:val="Paragrafoelenco"/>
        <w:numPr>
          <w:ilvl w:val="0"/>
          <w:numId w:val="52"/>
        </w:numPr>
        <w:jc w:val="both"/>
        <w:rPr>
          <w:sz w:val="28"/>
        </w:rPr>
      </w:pPr>
      <w:r>
        <w:rPr>
          <w:sz w:val="28"/>
        </w:rPr>
        <w:t>Sulla questione delle nazionalità, il 3 Novembre Lenin e Stalin promulgarono una “</w:t>
      </w:r>
      <w:r>
        <w:rPr>
          <w:i/>
          <w:sz w:val="28"/>
        </w:rPr>
        <w:t>Dichiarazione dei diritti dei popoli della Russia”</w:t>
      </w:r>
      <w:r>
        <w:rPr>
          <w:sz w:val="28"/>
        </w:rPr>
        <w:t xml:space="preserve">, riconoscente autodeterminazione nazionale ed eventuale secessione: si disinnescano una </w:t>
      </w:r>
      <w:r>
        <w:rPr>
          <w:sz w:val="28"/>
        </w:rPr>
        <w:lastRenderedPageBreak/>
        <w:t>possibile rivendicazioni nazionali delle diverse realtà multietniche dell’ex Impero</w:t>
      </w:r>
    </w:p>
    <w:p w:rsidR="009A157F" w:rsidRDefault="009A157F" w:rsidP="000B2651">
      <w:pPr>
        <w:jc w:val="both"/>
        <w:rPr>
          <w:sz w:val="28"/>
        </w:rPr>
      </w:pPr>
      <w:r>
        <w:rPr>
          <w:noProof/>
        </w:rPr>
        <w:drawing>
          <wp:inline distT="0" distB="0" distL="0" distR="0">
            <wp:extent cx="6120130" cy="3442573"/>
            <wp:effectExtent l="19050" t="0" r="0" b="0"/>
            <wp:docPr id="6" name="Immagine 29"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magine correlata"/>
                    <pic:cNvPicPr>
                      <a:picLocks noChangeAspect="1" noChangeArrowheads="1"/>
                    </pic:cNvPicPr>
                  </pic:nvPicPr>
                  <pic:blipFill>
                    <a:blip r:embed="rId188" cstate="print"/>
                    <a:srcRect/>
                    <a:stretch>
                      <a:fillRect/>
                    </a:stretch>
                  </pic:blipFill>
                  <pic:spPr bwMode="auto">
                    <a:xfrm>
                      <a:off x="0" y="0"/>
                      <a:ext cx="6120130" cy="3442573"/>
                    </a:xfrm>
                    <a:prstGeom prst="rect">
                      <a:avLst/>
                    </a:prstGeom>
                    <a:noFill/>
                    <a:ln w="9525">
                      <a:noFill/>
                      <a:miter lim="800000"/>
                      <a:headEnd/>
                      <a:tailEnd/>
                    </a:ln>
                  </pic:spPr>
                </pic:pic>
              </a:graphicData>
            </a:graphic>
          </wp:inline>
        </w:drawing>
      </w:r>
    </w:p>
    <w:p w:rsidR="009A157F" w:rsidRDefault="00417FCB" w:rsidP="000B2651">
      <w:pPr>
        <w:jc w:val="both"/>
        <w:rPr>
          <w:sz w:val="28"/>
        </w:rPr>
      </w:pPr>
      <w:r>
        <w:rPr>
          <w:sz w:val="28"/>
        </w:rPr>
        <w:t xml:space="preserve">A livello istituzionale i bolscevichi elimnarono la concorrenza politica. Il </w:t>
      </w:r>
      <w:r>
        <w:rPr>
          <w:i/>
          <w:sz w:val="28"/>
        </w:rPr>
        <w:t>Sovnarkom</w:t>
      </w:r>
      <w:r>
        <w:rPr>
          <w:sz w:val="28"/>
        </w:rPr>
        <w:t xml:space="preserve"> (Consiglio dei commissari del popolo) e il Comitato Centrale bolscevico lavoravano in sinergia. Le decisioni del partito divenivano decreti del governo. Il Comitato esecutivo del Soviet fu esautorato ben presto.</w:t>
      </w:r>
    </w:p>
    <w:p w:rsidR="00417FCB" w:rsidRDefault="00417FCB" w:rsidP="000B2651">
      <w:pPr>
        <w:jc w:val="both"/>
        <w:rPr>
          <w:sz w:val="28"/>
        </w:rPr>
      </w:pPr>
      <w:r>
        <w:rPr>
          <w:sz w:val="28"/>
        </w:rPr>
        <w:t>Le elezioni per l’Assemblea Costituente iniziarono a Pietrogrado il 12 Novembre e durarono 2 settimane. La partecipazione fu elevata: questi i risultati:</w:t>
      </w:r>
    </w:p>
    <w:tbl>
      <w:tblPr>
        <w:tblStyle w:val="Grigliatabella"/>
        <w:tblW w:w="0" w:type="auto"/>
        <w:tblLook w:val="04A0"/>
      </w:tblPr>
      <w:tblGrid>
        <w:gridCol w:w="2444"/>
        <w:gridCol w:w="2444"/>
        <w:gridCol w:w="2445"/>
        <w:gridCol w:w="2445"/>
      </w:tblGrid>
      <w:tr w:rsidR="00417FCB" w:rsidTr="00417FCB">
        <w:tc>
          <w:tcPr>
            <w:tcW w:w="2444" w:type="dxa"/>
          </w:tcPr>
          <w:p w:rsidR="00417FCB" w:rsidRDefault="00417FCB" w:rsidP="000B2651">
            <w:pPr>
              <w:jc w:val="both"/>
              <w:rPr>
                <w:sz w:val="28"/>
              </w:rPr>
            </w:pPr>
            <w:r>
              <w:rPr>
                <w:sz w:val="28"/>
              </w:rPr>
              <w:t>SR 38%</w:t>
            </w:r>
          </w:p>
        </w:tc>
        <w:tc>
          <w:tcPr>
            <w:tcW w:w="2444" w:type="dxa"/>
          </w:tcPr>
          <w:p w:rsidR="00417FCB" w:rsidRDefault="00417FCB" w:rsidP="000B2651">
            <w:pPr>
              <w:jc w:val="both"/>
              <w:rPr>
                <w:sz w:val="28"/>
              </w:rPr>
            </w:pPr>
            <w:r>
              <w:rPr>
                <w:sz w:val="28"/>
              </w:rPr>
              <w:t>Bolscevichi 24%</w:t>
            </w:r>
          </w:p>
        </w:tc>
        <w:tc>
          <w:tcPr>
            <w:tcW w:w="2445" w:type="dxa"/>
          </w:tcPr>
          <w:p w:rsidR="00417FCB" w:rsidRDefault="00417FCB" w:rsidP="000B2651">
            <w:pPr>
              <w:jc w:val="both"/>
              <w:rPr>
                <w:sz w:val="28"/>
              </w:rPr>
            </w:pPr>
            <w:r>
              <w:rPr>
                <w:sz w:val="28"/>
              </w:rPr>
              <w:t>Menscevichi 3%</w:t>
            </w:r>
          </w:p>
        </w:tc>
        <w:tc>
          <w:tcPr>
            <w:tcW w:w="2445" w:type="dxa"/>
          </w:tcPr>
          <w:p w:rsidR="00417FCB" w:rsidRDefault="00417FCB" w:rsidP="000B2651">
            <w:pPr>
              <w:jc w:val="both"/>
              <w:rPr>
                <w:sz w:val="28"/>
              </w:rPr>
            </w:pPr>
            <w:r>
              <w:rPr>
                <w:sz w:val="28"/>
              </w:rPr>
              <w:t>Cadetti 5% (molto presenti nelle città)</w:t>
            </w:r>
          </w:p>
        </w:tc>
      </w:tr>
    </w:tbl>
    <w:p w:rsidR="00417FCB" w:rsidRDefault="00417FCB" w:rsidP="000B2651">
      <w:pPr>
        <w:jc w:val="both"/>
        <w:rPr>
          <w:sz w:val="28"/>
        </w:rPr>
      </w:pPr>
      <w:r>
        <w:rPr>
          <w:sz w:val="28"/>
        </w:rPr>
        <w:t xml:space="preserve">Il </w:t>
      </w:r>
      <w:r>
        <w:rPr>
          <w:i/>
          <w:sz w:val="28"/>
        </w:rPr>
        <w:t>Sovnarkom</w:t>
      </w:r>
      <w:r>
        <w:rPr>
          <w:sz w:val="28"/>
        </w:rPr>
        <w:t xml:space="preserve"> rinviò la riunione dell’Assemblea Costituente a tempo indeterminato. Seguirono intimidazioni nei confronti della Commissione elettorale, e quando i partiti d’opposizione si riunirono in una Lega e organizzarono una manifestazione di protesa il 23 Novembre, furono messi fuorilegge i KD.</w:t>
      </w:r>
    </w:p>
    <w:p w:rsidR="002A285D" w:rsidRDefault="002A285D" w:rsidP="000B2651">
      <w:pPr>
        <w:jc w:val="both"/>
        <w:rPr>
          <w:sz w:val="28"/>
        </w:rPr>
      </w:pPr>
      <w:r>
        <w:rPr>
          <w:sz w:val="28"/>
        </w:rPr>
        <w:t>L’Assemblea fu riunita per l’unica sua volta il 5 Gennaio 1918. Il giorno dopo fu sciolta dai Bolscevichi con la forza armata e proclamarono la legge marziale. Era una reminescenza dello scioglimento della 1° Duma nel 1906. Gli SR attendevano la mobilitazione dei contadini, ma illusoriamente. I contadini erano intenti a difendere le spartizioni di terre ottenute e riconosciute dall’assemblee del villaggio.</w:t>
      </w:r>
    </w:p>
    <w:p w:rsidR="002A285D" w:rsidRDefault="002A285D" w:rsidP="000B2651">
      <w:pPr>
        <w:jc w:val="both"/>
        <w:rPr>
          <w:sz w:val="28"/>
        </w:rPr>
      </w:pPr>
      <w:r>
        <w:rPr>
          <w:sz w:val="28"/>
        </w:rPr>
        <w:lastRenderedPageBreak/>
        <w:t xml:space="preserve">I Bolscevichi furono autoritari. I giornali di opposizione furono dichiarati fuorilegge. </w:t>
      </w:r>
      <w:r w:rsidR="00667BBD">
        <w:rPr>
          <w:sz w:val="28"/>
        </w:rPr>
        <w:t xml:space="preserve">Mediante il decreto del </w:t>
      </w:r>
      <w:r>
        <w:rPr>
          <w:sz w:val="28"/>
        </w:rPr>
        <w:t>22 N</w:t>
      </w:r>
      <w:r w:rsidR="00667BBD">
        <w:rPr>
          <w:sz w:val="28"/>
        </w:rPr>
        <w:t xml:space="preserve">ovembre, </w:t>
      </w:r>
      <w:r>
        <w:rPr>
          <w:sz w:val="28"/>
        </w:rPr>
        <w:t xml:space="preserve">il sistema giudiziario fu smantellato, perché considerato “borghese”. La giustizia passò alle corti popolari e ai tribunali rivoluzionari per i reati contro lo Stato. La giustizia si basava sulla “coscienza rivoluzionaria”, quindi era facile all’arbitrio. A Dicembre il </w:t>
      </w:r>
      <w:r>
        <w:rPr>
          <w:i/>
          <w:sz w:val="28"/>
        </w:rPr>
        <w:t>Milrevkom</w:t>
      </w:r>
      <w:r>
        <w:rPr>
          <w:sz w:val="28"/>
        </w:rPr>
        <w:t xml:space="preserve"> fu soppresso in favore della Ceka (servizio segreto bolscevico</w:t>
      </w:r>
      <w:r w:rsidR="00667BBD">
        <w:rPr>
          <w:sz w:val="28"/>
        </w:rPr>
        <w:t>, Commissione straordinaria panrussa per la lotta alla controrivoluzione e al sabotaggio</w:t>
      </w:r>
      <w:r>
        <w:rPr>
          <w:sz w:val="28"/>
        </w:rPr>
        <w:t>)</w:t>
      </w:r>
      <w:r w:rsidR="00667BBD">
        <w:rPr>
          <w:sz w:val="28"/>
        </w:rPr>
        <w:t>.</w:t>
      </w:r>
    </w:p>
    <w:p w:rsidR="00667BBD" w:rsidRDefault="00667BBD" w:rsidP="000B2651">
      <w:pPr>
        <w:jc w:val="both"/>
        <w:rPr>
          <w:sz w:val="28"/>
        </w:rPr>
      </w:pPr>
      <w:r>
        <w:rPr>
          <w:sz w:val="28"/>
        </w:rPr>
        <w:t xml:space="preserve">Il nuovo regime era ampiamente antidemocratico e adottò metodi spietati nella lotta alla controrivoluzione. Lenin sostenne la tesi del terrore di massa per difendere la rivoluzione e auspicò la guerra civile per dare vita allo scontro di classe. Lenin faceva leva sui sentimenti di regolamenti di conti, vendetta, rivalsa sociale, odio contro i privilegi, lotta al nemico di classe definito </w:t>
      </w:r>
      <w:r>
        <w:rPr>
          <w:i/>
          <w:sz w:val="28"/>
        </w:rPr>
        <w:t>burzua</w:t>
      </w:r>
      <w:r>
        <w:rPr>
          <w:sz w:val="28"/>
        </w:rPr>
        <w:t xml:space="preserve"> (borghese, a cui erano addossate le peggiori colpe).</w:t>
      </w:r>
    </w:p>
    <w:p w:rsidR="002340B8" w:rsidRDefault="00667BBD" w:rsidP="000B2651">
      <w:pPr>
        <w:jc w:val="both"/>
        <w:rPr>
          <w:sz w:val="28"/>
        </w:rPr>
      </w:pPr>
      <w:r>
        <w:rPr>
          <w:noProof/>
        </w:rPr>
        <w:drawing>
          <wp:inline distT="0" distB="0" distL="0" distR="0">
            <wp:extent cx="2957194" cy="4075532"/>
            <wp:effectExtent l="19050" t="0" r="0" b="0"/>
            <wp:docPr id="14" name="Immagine 32" descr="File:Leon Trot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ile:Leon Trotsky.JPG"/>
                    <pic:cNvPicPr>
                      <a:picLocks noChangeAspect="1" noChangeArrowheads="1"/>
                    </pic:cNvPicPr>
                  </pic:nvPicPr>
                  <pic:blipFill>
                    <a:blip r:embed="rId189"/>
                    <a:srcRect/>
                    <a:stretch>
                      <a:fillRect/>
                    </a:stretch>
                  </pic:blipFill>
                  <pic:spPr bwMode="auto">
                    <a:xfrm>
                      <a:off x="0" y="0"/>
                      <a:ext cx="2963315" cy="4083967"/>
                    </a:xfrm>
                    <a:prstGeom prst="rect">
                      <a:avLst/>
                    </a:prstGeom>
                    <a:noFill/>
                    <a:ln w="9525">
                      <a:noFill/>
                      <a:miter lim="800000"/>
                      <a:headEnd/>
                      <a:tailEnd/>
                    </a:ln>
                  </pic:spPr>
                </pic:pic>
              </a:graphicData>
            </a:graphic>
          </wp:inline>
        </w:drawing>
      </w:r>
      <w:r>
        <w:rPr>
          <w:rStyle w:val="Rimandonotaapidipagina"/>
          <w:sz w:val="28"/>
        </w:rPr>
        <w:footnoteReference w:id="48"/>
      </w:r>
      <w:r w:rsidR="002340B8" w:rsidRPr="002340B8">
        <w:t xml:space="preserve"> </w:t>
      </w:r>
      <w:r w:rsidR="002340B8">
        <w:rPr>
          <w:noProof/>
        </w:rPr>
        <w:drawing>
          <wp:inline distT="0" distB="0" distL="0" distR="0">
            <wp:extent cx="2620370" cy="4074285"/>
            <wp:effectExtent l="19050" t="0" r="8530" b="0"/>
            <wp:docPr id="35" name="Immagine 35" descr="https://upload.wikimedia.org/wikipedia/commons/d/df/Map_Treaty_of_Brest-Litovsk-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upload.wikimedia.org/wikipedia/commons/d/df/Map_Treaty_of_Brest-Litovsk-en.jpg"/>
                    <pic:cNvPicPr>
                      <a:picLocks noChangeAspect="1" noChangeArrowheads="1"/>
                    </pic:cNvPicPr>
                  </pic:nvPicPr>
                  <pic:blipFill>
                    <a:blip r:embed="rId190"/>
                    <a:srcRect/>
                    <a:stretch>
                      <a:fillRect/>
                    </a:stretch>
                  </pic:blipFill>
                  <pic:spPr bwMode="auto">
                    <a:xfrm>
                      <a:off x="0" y="0"/>
                      <a:ext cx="2622767" cy="4078013"/>
                    </a:xfrm>
                    <a:prstGeom prst="rect">
                      <a:avLst/>
                    </a:prstGeom>
                    <a:noFill/>
                    <a:ln w="9525">
                      <a:noFill/>
                      <a:miter lim="800000"/>
                      <a:headEnd/>
                      <a:tailEnd/>
                    </a:ln>
                  </pic:spPr>
                </pic:pic>
              </a:graphicData>
            </a:graphic>
          </wp:inline>
        </w:drawing>
      </w:r>
      <w:r w:rsidR="002340B8">
        <w:rPr>
          <w:sz w:val="28"/>
        </w:rPr>
        <w:t xml:space="preserve"> </w:t>
      </w:r>
    </w:p>
    <w:p w:rsidR="00667BBD" w:rsidRDefault="00667BBD" w:rsidP="000B2651">
      <w:pPr>
        <w:jc w:val="both"/>
        <w:rPr>
          <w:sz w:val="28"/>
        </w:rPr>
      </w:pPr>
      <w:r>
        <w:rPr>
          <w:sz w:val="28"/>
        </w:rPr>
        <w:t>Si scatenò il “Terrore Rosso”</w:t>
      </w:r>
      <w:r>
        <w:rPr>
          <w:rStyle w:val="Rimandonotaapidipagina"/>
          <w:sz w:val="28"/>
        </w:rPr>
        <w:footnoteReference w:id="49"/>
      </w:r>
      <w:r>
        <w:rPr>
          <w:sz w:val="28"/>
        </w:rPr>
        <w:t xml:space="preserve">, firmato da Lenin il 21 febbraio 1918 nel decreto </w:t>
      </w:r>
      <w:r>
        <w:rPr>
          <w:i/>
          <w:sz w:val="28"/>
        </w:rPr>
        <w:t>La patria socialista è in pericolo!</w:t>
      </w:r>
      <w:r w:rsidR="002340B8">
        <w:rPr>
          <w:sz w:val="28"/>
        </w:rPr>
        <w:t xml:space="preserve"> </w:t>
      </w:r>
      <w:r w:rsidR="00DC5497">
        <w:rPr>
          <w:sz w:val="28"/>
        </w:rPr>
        <w:t xml:space="preserve">Il governo accettava esecuzioni, giudizi senza processo </w:t>
      </w:r>
      <w:r w:rsidR="00DC5497">
        <w:rPr>
          <w:sz w:val="28"/>
        </w:rPr>
        <w:lastRenderedPageBreak/>
        <w:t xml:space="preserve">contro gli “agitatori controrivoluzionari”, sia avversari politici e sia nemici di classe. </w:t>
      </w:r>
      <w:r w:rsidR="002340B8">
        <w:rPr>
          <w:sz w:val="28"/>
        </w:rPr>
        <w:t>Il clima era incandescente visto che i tedeschi avevano ripreso l’offensivo. Trockij aveva allungato i tempi con un Armistizio grazie alla sua retorica di una soluzione “né guerra né pace” che i tedeschi non accettarono a lungo.</w:t>
      </w:r>
    </w:p>
    <w:p w:rsidR="002340B8" w:rsidRDefault="002340B8" w:rsidP="000B2651">
      <w:pPr>
        <w:jc w:val="both"/>
        <w:rPr>
          <w:sz w:val="28"/>
        </w:rPr>
      </w:pPr>
      <w:r>
        <w:rPr>
          <w:noProof/>
        </w:rPr>
        <w:drawing>
          <wp:inline distT="0" distB="0" distL="0" distR="0">
            <wp:extent cx="5822192" cy="3930259"/>
            <wp:effectExtent l="19050" t="0" r="7108" b="0"/>
            <wp:docPr id="38" name="Immagine 38" descr="https://upload.wikimedia.org/wikipedia/commons/e/e4/Bundesarchiv_Bild_183-R92623%2C_Brest-Litowsk%2C_Waffenstillstandsabkomme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upload.wikimedia.org/wikipedia/commons/e/e4/Bundesarchiv_Bild_183-R92623%2C_Brest-Litowsk%2C_Waffenstillstandsabkommen.jpg"/>
                    <pic:cNvPicPr>
                      <a:picLocks noChangeAspect="1" noChangeArrowheads="1"/>
                    </pic:cNvPicPr>
                  </pic:nvPicPr>
                  <pic:blipFill>
                    <a:blip r:embed="rId191"/>
                    <a:srcRect/>
                    <a:stretch>
                      <a:fillRect/>
                    </a:stretch>
                  </pic:blipFill>
                  <pic:spPr bwMode="auto">
                    <a:xfrm>
                      <a:off x="0" y="0"/>
                      <a:ext cx="5819992" cy="3928774"/>
                    </a:xfrm>
                    <a:prstGeom prst="rect">
                      <a:avLst/>
                    </a:prstGeom>
                    <a:noFill/>
                    <a:ln w="9525">
                      <a:noFill/>
                      <a:miter lim="800000"/>
                      <a:headEnd/>
                      <a:tailEnd/>
                    </a:ln>
                  </pic:spPr>
                </pic:pic>
              </a:graphicData>
            </a:graphic>
          </wp:inline>
        </w:drawing>
      </w:r>
      <w:r>
        <w:rPr>
          <w:rStyle w:val="Rimandonotaapidipagina"/>
          <w:sz w:val="28"/>
        </w:rPr>
        <w:footnoteReference w:id="50"/>
      </w:r>
    </w:p>
    <w:p w:rsidR="00DC5497" w:rsidRDefault="00DC5497" w:rsidP="000B2651">
      <w:pPr>
        <w:jc w:val="both"/>
        <w:rPr>
          <w:sz w:val="28"/>
        </w:rPr>
      </w:pPr>
      <w:r>
        <w:rPr>
          <w:sz w:val="28"/>
        </w:rPr>
        <w:t xml:space="preserve">I trattati di Brest-Litovosk del 3 Marzo sancirono l’uscita dalla guerra per la Russia. Furono stipulati da Gerogij Cicerin, diplomatico di carriera e commissario per gli Affari Esteri. Nessun leader bolscevico voleva siglare un accordo umiliante. Tedeschi </w:t>
      </w:r>
      <w:r>
        <w:rPr>
          <w:sz w:val="28"/>
        </w:rPr>
        <w:lastRenderedPageBreak/>
        <w:t>conquistarono Lettonia, Estonia, Lituania, Polonia e parte dell’Ucraina. L’esercito si era dissolto, addirittura creò la crisi della leadership di Lenin per un po’ osteggiato da Nikolaj Bucharin. Il regime comunista si riuscì a salvare come Lenin aveva previsto. La Russia si ridimensionava come potenza europea e ritornava ai confini della Moscovia seicentesca. Neanche dopo la guerra civile l’Ucraina sarà riconquistata. Lo spostamento del baricentro della Russia è testimoniato dal trasferimento della capitale nel marzo del 1918. La nuova capitale era Mosca.</w:t>
      </w:r>
    </w:p>
    <w:p w:rsidR="00DC5497" w:rsidRDefault="00DE5F19" w:rsidP="000B2651">
      <w:pPr>
        <w:jc w:val="both"/>
        <w:rPr>
          <w:sz w:val="28"/>
        </w:rPr>
      </w:pPr>
      <w:r>
        <w:rPr>
          <w:noProof/>
        </w:rPr>
        <w:drawing>
          <wp:inline distT="0" distB="0" distL="0" distR="0">
            <wp:extent cx="6559171" cy="5969367"/>
            <wp:effectExtent l="19050" t="0" r="0" b="0"/>
            <wp:docPr id="47" name="Immagine 47" descr="Risultati immagini per cartina fine prima guerra mondi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Risultati immagini per cartina fine prima guerra mondiale"/>
                    <pic:cNvPicPr>
                      <a:picLocks noChangeAspect="1" noChangeArrowheads="1"/>
                    </pic:cNvPicPr>
                  </pic:nvPicPr>
                  <pic:blipFill>
                    <a:blip r:embed="rId192"/>
                    <a:srcRect/>
                    <a:stretch>
                      <a:fillRect/>
                    </a:stretch>
                  </pic:blipFill>
                  <pic:spPr bwMode="auto">
                    <a:xfrm>
                      <a:off x="0" y="0"/>
                      <a:ext cx="6558811" cy="5969040"/>
                    </a:xfrm>
                    <a:prstGeom prst="rect">
                      <a:avLst/>
                    </a:prstGeom>
                    <a:noFill/>
                    <a:ln w="9525">
                      <a:noFill/>
                      <a:miter lim="800000"/>
                      <a:headEnd/>
                      <a:tailEnd/>
                    </a:ln>
                  </pic:spPr>
                </pic:pic>
              </a:graphicData>
            </a:graphic>
          </wp:inline>
        </w:drawing>
      </w:r>
    </w:p>
    <w:p w:rsidR="00DE5F19" w:rsidRDefault="00DE5F19" w:rsidP="000B2651">
      <w:pPr>
        <w:pStyle w:val="Titolo1"/>
        <w:jc w:val="both"/>
      </w:pPr>
      <w:bookmarkStart w:id="41" w:name="_Toc493625466"/>
      <w:r>
        <w:lastRenderedPageBreak/>
        <w:t>8° Capitolo: Le guerre civili (1918-20)</w:t>
      </w:r>
      <w:bookmarkEnd w:id="41"/>
    </w:p>
    <w:p w:rsidR="00DE5F19" w:rsidRDefault="00DE5F19" w:rsidP="000B2651">
      <w:pPr>
        <w:pStyle w:val="Titolo2"/>
        <w:jc w:val="both"/>
        <w:rPr>
          <w:sz w:val="28"/>
        </w:rPr>
      </w:pPr>
      <w:bookmarkStart w:id="42" w:name="_Toc493625467"/>
      <w:r>
        <w:rPr>
          <w:sz w:val="28"/>
        </w:rPr>
        <w:t>Guerra civile e terrore</w:t>
      </w:r>
      <w:bookmarkEnd w:id="42"/>
    </w:p>
    <w:p w:rsidR="00DE5F19" w:rsidRDefault="008415D3" w:rsidP="000B2651">
      <w:pPr>
        <w:jc w:val="both"/>
        <w:rPr>
          <w:sz w:val="28"/>
        </w:rPr>
      </w:pPr>
      <w:r>
        <w:rPr>
          <w:sz w:val="28"/>
        </w:rPr>
        <w:t>Lo storico Holquist considerò la guerra civile del 1918-20 “una serie di guerre civili e conflitti nazionali che si succedono e si sovrappongono”. La guerra civile va in quadrata nel contesto delle convulsioni rivoluzionarie che durarono in Europa centrale e orientale fino al 45 o meglio la “guerra civile europea” (1914-1945).</w:t>
      </w:r>
    </w:p>
    <w:p w:rsidR="008415D3" w:rsidRDefault="008415D3" w:rsidP="000B2651">
      <w:pPr>
        <w:jc w:val="both"/>
        <w:rPr>
          <w:sz w:val="28"/>
        </w:rPr>
      </w:pPr>
      <w:r>
        <w:rPr>
          <w:sz w:val="28"/>
        </w:rPr>
        <w:t>La violenza ancora oggi interroga gli storici. L’assuefazione della violenza e il collasso del regime zarista provocarono lo scoppio di rancori etnici, conflitto di classe, il “terrore rosso” bolscevica, arresti, ostaggi, esecuzioni. L’esperienza della guerra forgiò la nuova classe politico-rivoluzionaria. La nuova classe dirigente militarizzò la società: legislazione per decreto, amministrazione centralizzata, giustizia sommaria.</w:t>
      </w:r>
    </w:p>
    <w:p w:rsidR="008415D3" w:rsidRDefault="008415D3" w:rsidP="000B2651">
      <w:pPr>
        <w:jc w:val="both"/>
        <w:rPr>
          <w:sz w:val="28"/>
        </w:rPr>
      </w:pPr>
      <w:r>
        <w:rPr>
          <w:sz w:val="28"/>
        </w:rPr>
        <w:t>Il “terrore rosso” è giudicato secondo diversi parametri. Secondo alcuni fu imposta solo da condizioni eccezionali in modo da rispondere all’accerchiamento dell’ “Armata Bianca”. Secondo Fitzpatrick i Bolscevichi capirono di essere una minoranza e cooptarono elementi “dal basso”, caratterizzando il partito con tratti autoritari, intolleranti e violenti.</w:t>
      </w:r>
      <w:r w:rsidR="005D4C3F">
        <w:rPr>
          <w:sz w:val="28"/>
        </w:rPr>
        <w:t xml:space="preserve"> Altri consideravano il “terrore” un principio di ragion di stato, quindi, di rafforzamento del potere attraverso il principio della guerra civile come guerra di classe: lo Stato legittimava i conflitto e la giustizia rivoluzionaria in ogni dove. </w:t>
      </w:r>
    </w:p>
    <w:p w:rsidR="005D4C3F" w:rsidRDefault="005D4C3F" w:rsidP="000B2651">
      <w:pPr>
        <w:jc w:val="both"/>
        <w:rPr>
          <w:sz w:val="28"/>
        </w:rPr>
      </w:pPr>
      <w:r>
        <w:rPr>
          <w:sz w:val="28"/>
        </w:rPr>
        <w:t>La pena di morte fu ristabilita già nel giugno 1918. SR e menscevichi furono esclusi dal Soviet. Il terrore si intensifico a seguito di vari eventi fra il Luglio e il Settembre 1918:</w:t>
      </w:r>
    </w:p>
    <w:p w:rsidR="005D4C3F" w:rsidRDefault="005D4C3F" w:rsidP="00CB56C2">
      <w:pPr>
        <w:pStyle w:val="Paragrafoelenco"/>
        <w:numPr>
          <w:ilvl w:val="0"/>
          <w:numId w:val="53"/>
        </w:numPr>
        <w:jc w:val="both"/>
        <w:rPr>
          <w:sz w:val="28"/>
        </w:rPr>
      </w:pPr>
      <w:r>
        <w:rPr>
          <w:sz w:val="28"/>
        </w:rPr>
        <w:t>I Bolscevichi repressero l’insurrezione degli SR che avevano assunto il controllo della sezione locale della Ceka  di Pietrogrado e assassinato l’ambasciatore tedesco per riaprire il conflitto e compromettere gli stessi bolscevichi</w:t>
      </w:r>
    </w:p>
    <w:p w:rsidR="005D4C3F" w:rsidRDefault="005D4C3F" w:rsidP="00CB56C2">
      <w:pPr>
        <w:pStyle w:val="Paragrafoelenco"/>
        <w:numPr>
          <w:ilvl w:val="0"/>
          <w:numId w:val="53"/>
        </w:numPr>
        <w:jc w:val="both"/>
        <w:rPr>
          <w:sz w:val="28"/>
        </w:rPr>
      </w:pPr>
      <w:r>
        <w:rPr>
          <w:sz w:val="28"/>
        </w:rPr>
        <w:t xml:space="preserve">Il massacro della famiglia reale ad Ekaterinenburg il 17 luglio per volere del Soviet locale ma approvato dal </w:t>
      </w:r>
      <w:r>
        <w:rPr>
          <w:i/>
          <w:sz w:val="28"/>
        </w:rPr>
        <w:t>Sovnarkom</w:t>
      </w:r>
      <w:r>
        <w:rPr>
          <w:sz w:val="28"/>
        </w:rPr>
        <w:t xml:space="preserve"> già da inizio luglio</w:t>
      </w:r>
    </w:p>
    <w:p w:rsidR="005D4C3F" w:rsidRDefault="005D4C3F" w:rsidP="00CB56C2">
      <w:pPr>
        <w:pStyle w:val="Paragrafoelenco"/>
        <w:numPr>
          <w:ilvl w:val="0"/>
          <w:numId w:val="53"/>
        </w:numPr>
        <w:jc w:val="both"/>
        <w:rPr>
          <w:sz w:val="28"/>
        </w:rPr>
      </w:pPr>
      <w:r>
        <w:rPr>
          <w:sz w:val="28"/>
        </w:rPr>
        <w:t>L’attentato a Lenin, il 30 agosto, forse di radice social-rivoluzionaria. La responsabile era Fanni Kaplan, poi fucilata. Lenin sopravvisse</w:t>
      </w:r>
    </w:p>
    <w:p w:rsidR="005D4C3F" w:rsidRDefault="005D4C3F" w:rsidP="000B2651">
      <w:pPr>
        <w:jc w:val="both"/>
        <w:rPr>
          <w:sz w:val="28"/>
        </w:rPr>
      </w:pPr>
      <w:r>
        <w:rPr>
          <w:sz w:val="28"/>
        </w:rPr>
        <w:t>La Ceka rispose aspramente con esecuzioni e fucilazioni agli oppositori.</w:t>
      </w:r>
    </w:p>
    <w:p w:rsidR="00EF2178" w:rsidRDefault="005D4C3F" w:rsidP="000B2651">
      <w:pPr>
        <w:jc w:val="both"/>
        <w:rPr>
          <w:sz w:val="28"/>
        </w:rPr>
      </w:pPr>
      <w:r>
        <w:rPr>
          <w:noProof/>
        </w:rPr>
        <w:lastRenderedPageBreak/>
        <w:drawing>
          <wp:inline distT="0" distB="0" distL="0" distR="0">
            <wp:extent cx="5908784" cy="4918841"/>
            <wp:effectExtent l="19050" t="0" r="0" b="0"/>
            <wp:docPr id="50" name="Immagine 50" descr="Risultati immagini per massacro romano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Risultati immagini per massacro romanov"/>
                    <pic:cNvPicPr>
                      <a:picLocks noChangeAspect="1" noChangeArrowheads="1"/>
                    </pic:cNvPicPr>
                  </pic:nvPicPr>
                  <pic:blipFill>
                    <a:blip r:embed="rId193"/>
                    <a:srcRect/>
                    <a:stretch>
                      <a:fillRect/>
                    </a:stretch>
                  </pic:blipFill>
                  <pic:spPr bwMode="auto">
                    <a:xfrm>
                      <a:off x="0" y="0"/>
                      <a:ext cx="5914964" cy="4923985"/>
                    </a:xfrm>
                    <a:prstGeom prst="rect">
                      <a:avLst/>
                    </a:prstGeom>
                    <a:noFill/>
                    <a:ln w="9525">
                      <a:noFill/>
                      <a:miter lim="800000"/>
                      <a:headEnd/>
                      <a:tailEnd/>
                    </a:ln>
                  </pic:spPr>
                </pic:pic>
              </a:graphicData>
            </a:graphic>
          </wp:inline>
        </w:drawing>
      </w:r>
      <w:r w:rsidR="00EF2178">
        <w:rPr>
          <w:rStyle w:val="Rimandonotaapidipagina"/>
          <w:sz w:val="28"/>
        </w:rPr>
        <w:footnoteReference w:id="51"/>
      </w:r>
      <w:r w:rsidR="00EF2178">
        <w:rPr>
          <w:noProof/>
        </w:rPr>
        <w:drawing>
          <wp:inline distT="0" distB="0" distL="0" distR="0">
            <wp:extent cx="5908784" cy="3128386"/>
            <wp:effectExtent l="19050" t="0" r="0" b="0"/>
            <wp:docPr id="53" name="Immagine 53" descr="https://upload.wikimedia.org/wikipedia/commons/b/b0/Lenin_attemp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upload.wikimedia.org/wikipedia/commons/b/b0/Lenin_attempt.jpg"/>
                    <pic:cNvPicPr>
                      <a:picLocks noChangeAspect="1" noChangeArrowheads="1"/>
                    </pic:cNvPicPr>
                  </pic:nvPicPr>
                  <pic:blipFill>
                    <a:blip r:embed="rId194"/>
                    <a:srcRect/>
                    <a:stretch>
                      <a:fillRect/>
                    </a:stretch>
                  </pic:blipFill>
                  <pic:spPr bwMode="auto">
                    <a:xfrm>
                      <a:off x="0" y="0"/>
                      <a:ext cx="5923462" cy="3136157"/>
                    </a:xfrm>
                    <a:prstGeom prst="rect">
                      <a:avLst/>
                    </a:prstGeom>
                    <a:noFill/>
                    <a:ln w="9525">
                      <a:noFill/>
                      <a:miter lim="800000"/>
                      <a:headEnd/>
                      <a:tailEnd/>
                    </a:ln>
                  </pic:spPr>
                </pic:pic>
              </a:graphicData>
            </a:graphic>
          </wp:inline>
        </w:drawing>
      </w:r>
    </w:p>
    <w:p w:rsidR="00EF2178" w:rsidRDefault="00EF2178" w:rsidP="000B2651">
      <w:pPr>
        <w:pStyle w:val="Titolo2"/>
        <w:jc w:val="both"/>
        <w:rPr>
          <w:sz w:val="28"/>
        </w:rPr>
      </w:pPr>
      <w:bookmarkStart w:id="43" w:name="_Toc493625468"/>
      <w:r>
        <w:rPr>
          <w:sz w:val="28"/>
        </w:rPr>
        <w:lastRenderedPageBreak/>
        <w:t>Le prime fasi del conflitto e l’intervento degli alleati</w:t>
      </w:r>
      <w:bookmarkEnd w:id="43"/>
    </w:p>
    <w:p w:rsidR="00EF2178" w:rsidRPr="00B3675B" w:rsidRDefault="00EF2178" w:rsidP="000B2651">
      <w:pPr>
        <w:jc w:val="both"/>
        <w:rPr>
          <w:sz w:val="28"/>
        </w:rPr>
      </w:pPr>
      <w:r>
        <w:rPr>
          <w:sz w:val="28"/>
        </w:rPr>
        <w:t>Dal novembre 1917 era iniziata la fuga degli oppositori politici. Erano cadetti, esponenti di destra, ufficiali come Alekseev e Kornilov,borghesi, artisti: si concentrarono tutti nell’area del Don e nella città cosacca di Novocerkassk.</w:t>
      </w:r>
      <w:r w:rsidR="00B3675B">
        <w:rPr>
          <w:sz w:val="28"/>
        </w:rPr>
        <w:t xml:space="preserve"> Il </w:t>
      </w:r>
      <w:r w:rsidR="00B3675B">
        <w:rPr>
          <w:i/>
          <w:sz w:val="28"/>
        </w:rPr>
        <w:t>Krug</w:t>
      </w:r>
      <w:r w:rsidR="00B3675B">
        <w:rPr>
          <w:sz w:val="28"/>
        </w:rPr>
        <w:t xml:space="preserve"> del Don aveva proclamato l’indipendenza, i cosacchi erano guidati dall’atamano Alejsej Kaledin</w:t>
      </w:r>
    </w:p>
    <w:p w:rsidR="00B3675B" w:rsidRDefault="00B3675B" w:rsidP="000B2651">
      <w:pPr>
        <w:jc w:val="both"/>
        <w:rPr>
          <w:sz w:val="28"/>
        </w:rPr>
      </w:pPr>
      <w:r>
        <w:rPr>
          <w:noProof/>
        </w:rPr>
        <w:drawing>
          <wp:inline distT="0" distB="0" distL="0" distR="0">
            <wp:extent cx="2377440" cy="2122805"/>
            <wp:effectExtent l="19050" t="0" r="3810" b="0"/>
            <wp:docPr id="62" name="Immagine 62" descr="Risultati immagini per aleksej kaled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Risultati immagini per aleksej kaledin"/>
                    <pic:cNvPicPr>
                      <a:picLocks noChangeAspect="1" noChangeArrowheads="1"/>
                    </pic:cNvPicPr>
                  </pic:nvPicPr>
                  <pic:blipFill>
                    <a:blip r:embed="rId195"/>
                    <a:srcRect/>
                    <a:stretch>
                      <a:fillRect/>
                    </a:stretch>
                  </pic:blipFill>
                  <pic:spPr bwMode="auto">
                    <a:xfrm>
                      <a:off x="0" y="0"/>
                      <a:ext cx="2377440" cy="2122805"/>
                    </a:xfrm>
                    <a:prstGeom prst="rect">
                      <a:avLst/>
                    </a:prstGeom>
                    <a:noFill/>
                    <a:ln w="9525">
                      <a:noFill/>
                      <a:miter lim="800000"/>
                      <a:headEnd/>
                      <a:tailEnd/>
                    </a:ln>
                  </pic:spPr>
                </pic:pic>
              </a:graphicData>
            </a:graphic>
          </wp:inline>
        </w:drawing>
      </w:r>
      <w:r w:rsidR="00EF0AEB" w:rsidRPr="00EF0AEB">
        <w:t xml:space="preserve"> </w:t>
      </w:r>
      <w:r w:rsidR="00EF0AEB">
        <w:rPr>
          <w:noProof/>
        </w:rPr>
        <w:drawing>
          <wp:inline distT="0" distB="0" distL="0" distR="0">
            <wp:extent cx="2871043" cy="2120716"/>
            <wp:effectExtent l="19050" t="0" r="5507" b="0"/>
            <wp:docPr id="65" name="Immagine 65" descr="Risultati immagini per armata rossa guerra civ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Risultati immagini per armata rossa guerra civile"/>
                    <pic:cNvPicPr>
                      <a:picLocks noChangeAspect="1" noChangeArrowheads="1"/>
                    </pic:cNvPicPr>
                  </pic:nvPicPr>
                  <pic:blipFill>
                    <a:blip r:embed="rId196"/>
                    <a:srcRect/>
                    <a:stretch>
                      <a:fillRect/>
                    </a:stretch>
                  </pic:blipFill>
                  <pic:spPr bwMode="auto">
                    <a:xfrm>
                      <a:off x="0" y="0"/>
                      <a:ext cx="2875582" cy="2124069"/>
                    </a:xfrm>
                    <a:prstGeom prst="rect">
                      <a:avLst/>
                    </a:prstGeom>
                    <a:noFill/>
                    <a:ln w="9525">
                      <a:noFill/>
                      <a:miter lim="800000"/>
                      <a:headEnd/>
                      <a:tailEnd/>
                    </a:ln>
                  </pic:spPr>
                </pic:pic>
              </a:graphicData>
            </a:graphic>
          </wp:inline>
        </w:drawing>
      </w:r>
    </w:p>
    <w:p w:rsidR="00B3675B" w:rsidRDefault="00B3675B" w:rsidP="000B2651">
      <w:pPr>
        <w:jc w:val="both"/>
        <w:rPr>
          <w:sz w:val="28"/>
        </w:rPr>
      </w:pPr>
      <w:r>
        <w:rPr>
          <w:sz w:val="28"/>
        </w:rPr>
        <w:t>I Cosacchi erano spaccati in due, divise in due generazioni contrastanti:</w:t>
      </w:r>
    </w:p>
    <w:p w:rsidR="00B3675B" w:rsidRDefault="00B3675B" w:rsidP="00CB56C2">
      <w:pPr>
        <w:pStyle w:val="Paragrafoelenco"/>
        <w:numPr>
          <w:ilvl w:val="0"/>
          <w:numId w:val="54"/>
        </w:numPr>
        <w:jc w:val="both"/>
        <w:rPr>
          <w:sz w:val="28"/>
        </w:rPr>
      </w:pPr>
      <w:r>
        <w:rPr>
          <w:sz w:val="28"/>
        </w:rPr>
        <w:t>Gli anziani erano legati al mondo tradizionale e volevano preservare la tradizione</w:t>
      </w:r>
    </w:p>
    <w:p w:rsidR="00B3675B" w:rsidRDefault="00B3675B" w:rsidP="00CB56C2">
      <w:pPr>
        <w:pStyle w:val="Paragrafoelenco"/>
        <w:numPr>
          <w:ilvl w:val="0"/>
          <w:numId w:val="54"/>
        </w:numPr>
        <w:jc w:val="both"/>
        <w:rPr>
          <w:sz w:val="28"/>
        </w:rPr>
      </w:pPr>
      <w:r>
        <w:rPr>
          <w:sz w:val="28"/>
        </w:rPr>
        <w:t>I giovani erano reduci di guerra e avevano subito la propaganda bolscevica</w:t>
      </w:r>
    </w:p>
    <w:p w:rsidR="00B3675B" w:rsidRDefault="00B3675B" w:rsidP="000B2651">
      <w:pPr>
        <w:jc w:val="both"/>
        <w:rPr>
          <w:sz w:val="28"/>
        </w:rPr>
      </w:pPr>
      <w:r>
        <w:rPr>
          <w:sz w:val="28"/>
        </w:rPr>
        <w:t>I Bolscevichi conquistarono Rostov-sul-Don</w:t>
      </w:r>
      <w:r w:rsidR="00EF0AEB">
        <w:rPr>
          <w:sz w:val="28"/>
        </w:rPr>
        <w:t>. Si alternavano fortune belliche e la repressione era feroce a spese degli oppositori di turno o della stessa società civile. Molti furono i</w:t>
      </w:r>
      <w:r w:rsidR="00EF0AEB" w:rsidRPr="00EF0AEB">
        <w:rPr>
          <w:i/>
          <w:sz w:val="28"/>
        </w:rPr>
        <w:t xml:space="preserve"> pogromy</w:t>
      </w:r>
      <w:r w:rsidR="00EF0AEB">
        <w:rPr>
          <w:sz w:val="28"/>
        </w:rPr>
        <w:t xml:space="preserve"> contro gli ebrei, scatenati dall’Armata Bianca. </w:t>
      </w:r>
    </w:p>
    <w:p w:rsidR="00EF0AEB" w:rsidRDefault="00EF0AEB" w:rsidP="000B2651">
      <w:pPr>
        <w:jc w:val="both"/>
        <w:rPr>
          <w:sz w:val="28"/>
        </w:rPr>
      </w:pPr>
      <w:r>
        <w:rPr>
          <w:sz w:val="28"/>
        </w:rPr>
        <w:t>A Dicembre 1917 Kaledin e i Volontari Bianchi si accordarono, riconquistarono Rostov ma subirono nel Febbraio 1918 la controffensiva bolscevica e l’interno bacino del Don tornò ai bolscevichi. Kaledin si suicidò.</w:t>
      </w:r>
    </w:p>
    <w:p w:rsidR="00D2495A" w:rsidRDefault="00D2495A" w:rsidP="000B2651">
      <w:pPr>
        <w:jc w:val="both"/>
        <w:rPr>
          <w:sz w:val="28"/>
        </w:rPr>
      </w:pPr>
      <w:r>
        <w:rPr>
          <w:sz w:val="28"/>
        </w:rPr>
        <w:t>I Volontari bianchi avviarono la “marcia sul ghiaccio” verso la regione del Kuban e si riunirono con la divisione cosacca guidata da Pokrvrovskij. Kornilov morì nell’assedio di Ekaterinodar. Subentrò come generale Anton Denikin, egli decise di ritornare sul Don. I cosacchi nuovamente si rivoltarono, ora sotto la guida dell’atamano Petr Krasnov. Ma i Bolscevichi dovevano fronteggiare anche i tedeschi in Ucraina.</w:t>
      </w:r>
    </w:p>
    <w:p w:rsidR="00D2495A" w:rsidRPr="00EF0AEB" w:rsidRDefault="00D2495A" w:rsidP="000B2651">
      <w:pPr>
        <w:jc w:val="both"/>
        <w:rPr>
          <w:sz w:val="28"/>
        </w:rPr>
      </w:pPr>
      <w:r>
        <w:rPr>
          <w:noProof/>
        </w:rPr>
        <w:lastRenderedPageBreak/>
        <w:drawing>
          <wp:inline distT="0" distB="0" distL="0" distR="0">
            <wp:extent cx="1348306" cy="2102684"/>
            <wp:effectExtent l="19050" t="0" r="4244" b="0"/>
            <wp:docPr id="68" name="Immagine 68" descr="File:Anton Denikin 1918-1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File:Anton Denikin 1918-1919.jpg"/>
                    <pic:cNvPicPr>
                      <a:picLocks noChangeAspect="1" noChangeArrowheads="1"/>
                    </pic:cNvPicPr>
                  </pic:nvPicPr>
                  <pic:blipFill>
                    <a:blip r:embed="rId197"/>
                    <a:srcRect/>
                    <a:stretch>
                      <a:fillRect/>
                    </a:stretch>
                  </pic:blipFill>
                  <pic:spPr bwMode="auto">
                    <a:xfrm>
                      <a:off x="0" y="0"/>
                      <a:ext cx="1351671" cy="2107932"/>
                    </a:xfrm>
                    <a:prstGeom prst="rect">
                      <a:avLst/>
                    </a:prstGeom>
                    <a:noFill/>
                    <a:ln w="9525">
                      <a:noFill/>
                      <a:miter lim="800000"/>
                      <a:headEnd/>
                      <a:tailEnd/>
                    </a:ln>
                  </pic:spPr>
                </pic:pic>
              </a:graphicData>
            </a:graphic>
          </wp:inline>
        </w:drawing>
      </w:r>
      <w:r w:rsidRPr="00D2495A">
        <w:t xml:space="preserve"> </w:t>
      </w:r>
      <w:r>
        <w:rPr>
          <w:noProof/>
        </w:rPr>
        <w:drawing>
          <wp:inline distT="0" distB="0" distL="0" distR="0">
            <wp:extent cx="1480949" cy="2107095"/>
            <wp:effectExtent l="19050" t="0" r="4951" b="0"/>
            <wp:docPr id="71" name="Immagine 71" descr="File:Denikin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File:Denikin poster.jpg"/>
                    <pic:cNvPicPr>
                      <a:picLocks noChangeAspect="1" noChangeArrowheads="1"/>
                    </pic:cNvPicPr>
                  </pic:nvPicPr>
                  <pic:blipFill>
                    <a:blip r:embed="rId198"/>
                    <a:srcRect/>
                    <a:stretch>
                      <a:fillRect/>
                    </a:stretch>
                  </pic:blipFill>
                  <pic:spPr bwMode="auto">
                    <a:xfrm>
                      <a:off x="0" y="0"/>
                      <a:ext cx="1481169" cy="2107408"/>
                    </a:xfrm>
                    <a:prstGeom prst="rect">
                      <a:avLst/>
                    </a:prstGeom>
                    <a:noFill/>
                    <a:ln w="9525">
                      <a:noFill/>
                      <a:miter lim="800000"/>
                      <a:headEnd/>
                      <a:tailEnd/>
                    </a:ln>
                  </pic:spPr>
                </pic:pic>
              </a:graphicData>
            </a:graphic>
          </wp:inline>
        </w:drawing>
      </w:r>
      <w:r w:rsidRPr="00D2495A">
        <w:t xml:space="preserve"> </w:t>
      </w:r>
      <w:r>
        <w:rPr>
          <w:noProof/>
        </w:rPr>
        <w:drawing>
          <wp:inline distT="0" distB="0" distL="0" distR="0">
            <wp:extent cx="1451941" cy="2117112"/>
            <wp:effectExtent l="19050" t="0" r="0" b="0"/>
            <wp:docPr id="74" name="Immagine 74" descr="General Krasnow (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General Krasnow (cropped).jpg"/>
                    <pic:cNvPicPr>
                      <a:picLocks noChangeAspect="1" noChangeArrowheads="1"/>
                    </pic:cNvPicPr>
                  </pic:nvPicPr>
                  <pic:blipFill>
                    <a:blip r:embed="rId199" cstate="print"/>
                    <a:srcRect/>
                    <a:stretch>
                      <a:fillRect/>
                    </a:stretch>
                  </pic:blipFill>
                  <pic:spPr bwMode="auto">
                    <a:xfrm>
                      <a:off x="0" y="0"/>
                      <a:ext cx="1452855" cy="2118445"/>
                    </a:xfrm>
                    <a:prstGeom prst="rect">
                      <a:avLst/>
                    </a:prstGeom>
                    <a:noFill/>
                    <a:ln w="9525">
                      <a:noFill/>
                      <a:miter lim="800000"/>
                      <a:headEnd/>
                      <a:tailEnd/>
                    </a:ln>
                  </pic:spPr>
                </pic:pic>
              </a:graphicData>
            </a:graphic>
          </wp:inline>
        </w:drawing>
      </w:r>
    </w:p>
    <w:p w:rsidR="008367A6" w:rsidRDefault="008367A6" w:rsidP="000B2651">
      <w:pPr>
        <w:jc w:val="both"/>
        <w:rPr>
          <w:sz w:val="28"/>
        </w:rPr>
      </w:pPr>
      <w:r>
        <w:rPr>
          <w:noProof/>
        </w:rPr>
        <w:drawing>
          <wp:inline distT="0" distB="0" distL="0" distR="0">
            <wp:extent cx="6120130" cy="5109625"/>
            <wp:effectExtent l="19050" t="0" r="0" b="0"/>
            <wp:docPr id="56" name="Immagine 56" descr="http://images.treccani.it/enc/media/share/images/orig/system/galleries/NPT/VOL_X/IMMAGINI/urss_02car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images.treccani.it/enc/media/share/images/orig/system/galleries/NPT/VOL_X/IMMAGINI/urss_02carta.jpg"/>
                    <pic:cNvPicPr>
                      <a:picLocks noChangeAspect="1" noChangeArrowheads="1"/>
                    </pic:cNvPicPr>
                  </pic:nvPicPr>
                  <pic:blipFill>
                    <a:blip r:embed="rId200"/>
                    <a:srcRect/>
                    <a:stretch>
                      <a:fillRect/>
                    </a:stretch>
                  </pic:blipFill>
                  <pic:spPr bwMode="auto">
                    <a:xfrm>
                      <a:off x="0" y="0"/>
                      <a:ext cx="6120130" cy="5109625"/>
                    </a:xfrm>
                    <a:prstGeom prst="rect">
                      <a:avLst/>
                    </a:prstGeom>
                    <a:noFill/>
                    <a:ln w="9525">
                      <a:noFill/>
                      <a:miter lim="800000"/>
                      <a:headEnd/>
                      <a:tailEnd/>
                    </a:ln>
                  </pic:spPr>
                </pic:pic>
              </a:graphicData>
            </a:graphic>
          </wp:inline>
        </w:drawing>
      </w:r>
    </w:p>
    <w:p w:rsidR="008367A6" w:rsidRDefault="0066439D" w:rsidP="000B2651">
      <w:pPr>
        <w:jc w:val="both"/>
        <w:rPr>
          <w:sz w:val="28"/>
        </w:rPr>
      </w:pPr>
      <w:r>
        <w:rPr>
          <w:noProof/>
        </w:rPr>
        <w:lastRenderedPageBrea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_x0000_s1040" type="#_x0000_t68" style="position:absolute;left:0;text-align:left;margin-left:77.3pt;margin-top:156.65pt;width:35.1pt;height:102.05pt;z-index:251671552" fillcolor="#ffc000">
            <v:textbox style="layout-flow:vertical-ideographic">
              <w:txbxContent>
                <w:p w:rsidR="000B2651" w:rsidRDefault="000B2651">
                  <w:r>
                    <w:t>Sede delKomuc</w:t>
                  </w:r>
                </w:p>
              </w:txbxContent>
            </v:textbox>
          </v:shape>
        </w:pict>
      </w:r>
      <w:r w:rsidR="008367A6">
        <w:rPr>
          <w:noProof/>
        </w:rPr>
        <w:drawing>
          <wp:inline distT="0" distB="0" distL="0" distR="0">
            <wp:extent cx="6120130" cy="3659128"/>
            <wp:effectExtent l="19050" t="0" r="0" b="0"/>
            <wp:docPr id="59" name="Immagine 59" descr="https://www.atrieste.eu/Foto/Z001/Mandi/RussiaCivilWa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www.atrieste.eu/Foto/Z001/Mandi/RussiaCivilWar.png"/>
                    <pic:cNvPicPr>
                      <a:picLocks noChangeAspect="1" noChangeArrowheads="1"/>
                    </pic:cNvPicPr>
                  </pic:nvPicPr>
                  <pic:blipFill>
                    <a:blip r:embed="rId201"/>
                    <a:srcRect/>
                    <a:stretch>
                      <a:fillRect/>
                    </a:stretch>
                  </pic:blipFill>
                  <pic:spPr bwMode="auto">
                    <a:xfrm>
                      <a:off x="0" y="0"/>
                      <a:ext cx="6120130" cy="3659128"/>
                    </a:xfrm>
                    <a:prstGeom prst="rect">
                      <a:avLst/>
                    </a:prstGeom>
                    <a:noFill/>
                    <a:ln w="9525">
                      <a:noFill/>
                      <a:miter lim="800000"/>
                      <a:headEnd/>
                      <a:tailEnd/>
                    </a:ln>
                  </pic:spPr>
                </pic:pic>
              </a:graphicData>
            </a:graphic>
          </wp:inline>
        </w:drawing>
      </w:r>
    </w:p>
    <w:p w:rsidR="00D2495A" w:rsidRDefault="00D2495A" w:rsidP="000B2651">
      <w:pPr>
        <w:jc w:val="both"/>
        <w:rPr>
          <w:sz w:val="28"/>
        </w:rPr>
      </w:pPr>
      <w:r>
        <w:rPr>
          <w:sz w:val="28"/>
        </w:rPr>
        <w:t>Ad Est del Volga confluirono, dopo la dissoluzione della Costituente, molti SR. Avevano l’ob</w:t>
      </w:r>
      <w:r w:rsidR="0066439D">
        <w:rPr>
          <w:sz w:val="28"/>
        </w:rPr>
        <w:t>i</w:t>
      </w:r>
      <w:r>
        <w:rPr>
          <w:sz w:val="28"/>
        </w:rPr>
        <w:t>ettivo di conquistare queste province per ribaltare il regime bolscevico.</w:t>
      </w:r>
      <w:r w:rsidR="0066439D">
        <w:rPr>
          <w:sz w:val="28"/>
        </w:rPr>
        <w:t xml:space="preserve"> La sede del loro governo, il </w:t>
      </w:r>
      <w:r w:rsidR="0066439D" w:rsidRPr="0066439D">
        <w:rPr>
          <w:i/>
          <w:sz w:val="28"/>
        </w:rPr>
        <w:t>Komuc</w:t>
      </w:r>
      <w:r w:rsidR="0066439D">
        <w:rPr>
          <w:sz w:val="28"/>
        </w:rPr>
        <w:t>, era a Samara. Era una sorta di parlamento pan russo in esilio. Volevano restaurare la democrazia contro bolscevichi, destra e monarchia. Gli SR si scontrarono con l’indifferenza dei contadini nei confronti della questione costituzionale ma soprattutto sulla questione della spartizione delle terre.</w:t>
      </w:r>
    </w:p>
    <w:p w:rsidR="0066439D" w:rsidRDefault="0066439D" w:rsidP="000B2651">
      <w:pPr>
        <w:jc w:val="both"/>
        <w:rPr>
          <w:sz w:val="28"/>
        </w:rPr>
      </w:pPr>
      <w:r>
        <w:rPr>
          <w:noProof/>
        </w:rPr>
        <w:drawing>
          <wp:inline distT="0" distB="0" distL="0" distR="0">
            <wp:extent cx="2922932" cy="2068664"/>
            <wp:effectExtent l="19050" t="0" r="0" b="0"/>
            <wp:docPr id="77" name="Immagine 77" descr="https://upload.wikimedia.org/wikipedia/commons/9/93/Czech_Legion_in_fore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upload.wikimedia.org/wikipedia/commons/9/93/Czech_Legion_in_forest.jpg"/>
                    <pic:cNvPicPr>
                      <a:picLocks noChangeAspect="1" noChangeArrowheads="1"/>
                    </pic:cNvPicPr>
                  </pic:nvPicPr>
                  <pic:blipFill>
                    <a:blip r:embed="rId202"/>
                    <a:srcRect/>
                    <a:stretch>
                      <a:fillRect/>
                    </a:stretch>
                  </pic:blipFill>
                  <pic:spPr bwMode="auto">
                    <a:xfrm>
                      <a:off x="0" y="0"/>
                      <a:ext cx="2923301" cy="2068925"/>
                    </a:xfrm>
                    <a:prstGeom prst="rect">
                      <a:avLst/>
                    </a:prstGeom>
                    <a:noFill/>
                    <a:ln w="9525">
                      <a:noFill/>
                      <a:miter lim="800000"/>
                      <a:headEnd/>
                      <a:tailEnd/>
                    </a:ln>
                  </pic:spPr>
                </pic:pic>
              </a:graphicData>
            </a:graphic>
          </wp:inline>
        </w:drawing>
      </w:r>
      <w:r w:rsidRPr="0066439D">
        <w:t xml:space="preserve"> </w:t>
      </w:r>
      <w:r>
        <w:rPr>
          <w:noProof/>
        </w:rPr>
        <w:drawing>
          <wp:inline distT="0" distB="0" distL="0" distR="0">
            <wp:extent cx="3043709" cy="2075290"/>
            <wp:effectExtent l="19050" t="0" r="4291" b="0"/>
            <wp:docPr id="80" name="Immagine 80" descr="https://upload.wikimedia.org/wikipedia/commons/b/be/Czech_Troo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upload.wikimedia.org/wikipedia/commons/b/be/Czech_Troops.jpg"/>
                    <pic:cNvPicPr>
                      <a:picLocks noChangeAspect="1" noChangeArrowheads="1"/>
                    </pic:cNvPicPr>
                  </pic:nvPicPr>
                  <pic:blipFill>
                    <a:blip r:embed="rId203"/>
                    <a:srcRect/>
                    <a:stretch>
                      <a:fillRect/>
                    </a:stretch>
                  </pic:blipFill>
                  <pic:spPr bwMode="auto">
                    <a:xfrm>
                      <a:off x="0" y="0"/>
                      <a:ext cx="3042785" cy="2074660"/>
                    </a:xfrm>
                    <a:prstGeom prst="rect">
                      <a:avLst/>
                    </a:prstGeom>
                    <a:noFill/>
                    <a:ln w="9525">
                      <a:noFill/>
                      <a:miter lim="800000"/>
                      <a:headEnd/>
                      <a:tailEnd/>
                    </a:ln>
                  </pic:spPr>
                </pic:pic>
              </a:graphicData>
            </a:graphic>
          </wp:inline>
        </w:drawing>
      </w:r>
    </w:p>
    <w:p w:rsidR="0066439D" w:rsidRDefault="0066439D" w:rsidP="000B2651">
      <w:pPr>
        <w:jc w:val="both"/>
        <w:rPr>
          <w:sz w:val="28"/>
        </w:rPr>
      </w:pPr>
      <w:r>
        <w:rPr>
          <w:sz w:val="28"/>
        </w:rPr>
        <w:t xml:space="preserve">I Volontari Bianchi ricorsero alla famosa “Legione ceca”, efficiente corpo militare, che durante la 1° Guerra mondiale si era unito all’Intesa ma che ora non poteva far ritorno a casa a causa della conquista tedesca e austriaca. Decisero di arrivare in </w:t>
      </w:r>
      <w:r>
        <w:rPr>
          <w:sz w:val="28"/>
        </w:rPr>
        <w:lastRenderedPageBreak/>
        <w:t>Boemia passando per la Siberia e fare il giro del mondo</w:t>
      </w:r>
      <w:r>
        <w:rPr>
          <w:rStyle w:val="Rimandonotaapidipagina"/>
          <w:sz w:val="28"/>
        </w:rPr>
        <w:footnoteReference w:id="52"/>
      </w:r>
      <w:r w:rsidR="00231053">
        <w:rPr>
          <w:sz w:val="28"/>
        </w:rPr>
        <w:t>. I cechi conquistarono città dopo città lungo la Transiberiana la propria salvezza. Il governo di Samara però era inconsistente a trovare nuove truppe militari.</w:t>
      </w:r>
    </w:p>
    <w:p w:rsidR="00231053" w:rsidRDefault="00231053" w:rsidP="000B2651">
      <w:pPr>
        <w:jc w:val="both"/>
        <w:rPr>
          <w:sz w:val="28"/>
        </w:rPr>
      </w:pPr>
      <w:r>
        <w:rPr>
          <w:sz w:val="28"/>
        </w:rPr>
        <w:t>Nell’estate del 1918 i bolscevichi erano accerchiati:</w:t>
      </w:r>
    </w:p>
    <w:p w:rsidR="00231053" w:rsidRDefault="00231053" w:rsidP="00CB56C2">
      <w:pPr>
        <w:pStyle w:val="Paragrafoelenco"/>
        <w:numPr>
          <w:ilvl w:val="0"/>
          <w:numId w:val="55"/>
        </w:numPr>
        <w:jc w:val="both"/>
        <w:rPr>
          <w:sz w:val="28"/>
        </w:rPr>
      </w:pPr>
      <w:r>
        <w:rPr>
          <w:sz w:val="28"/>
        </w:rPr>
        <w:t>Dai bianchi di Nikolaj Judenic, inglesi e finlandesi</w:t>
      </w:r>
    </w:p>
    <w:p w:rsidR="00231053" w:rsidRDefault="00231053" w:rsidP="00CB56C2">
      <w:pPr>
        <w:pStyle w:val="Paragrafoelenco"/>
        <w:numPr>
          <w:ilvl w:val="0"/>
          <w:numId w:val="55"/>
        </w:numPr>
        <w:jc w:val="both"/>
        <w:rPr>
          <w:sz w:val="28"/>
        </w:rPr>
      </w:pPr>
      <w:r>
        <w:rPr>
          <w:sz w:val="28"/>
        </w:rPr>
        <w:t>Dall’Armata del Don di Krasnov e i Volontari di Denikin</w:t>
      </w:r>
    </w:p>
    <w:p w:rsidR="00231053" w:rsidRDefault="00231053" w:rsidP="00CB56C2">
      <w:pPr>
        <w:pStyle w:val="Paragrafoelenco"/>
        <w:numPr>
          <w:ilvl w:val="0"/>
          <w:numId w:val="55"/>
        </w:numPr>
        <w:jc w:val="both"/>
        <w:rPr>
          <w:sz w:val="28"/>
        </w:rPr>
      </w:pPr>
      <w:r>
        <w:rPr>
          <w:sz w:val="28"/>
        </w:rPr>
        <w:t>Dai Tedeschi in Ucraina</w:t>
      </w:r>
    </w:p>
    <w:p w:rsidR="00231053" w:rsidRDefault="00231053" w:rsidP="000B2651">
      <w:pPr>
        <w:jc w:val="both"/>
        <w:rPr>
          <w:sz w:val="28"/>
        </w:rPr>
      </w:pPr>
      <w:r>
        <w:rPr>
          <w:sz w:val="28"/>
        </w:rPr>
        <w:t>Ma Denikin non colse il  momento propizio. Non marciò su Mosca ma consolidò le posizioni nel Kuman</w:t>
      </w:r>
      <w:r w:rsidR="00CC5C1F">
        <w:rPr>
          <w:sz w:val="28"/>
        </w:rPr>
        <w:t>. L’atamano Krasnov fallì la conquista di Caricyn (poi Stalingrado e oggi Volgograd), nodo strategico sul Volga, molto vicino al bacino del Don, la cui conquista permetteva di saldare le forze bianche orientali e meridionali.</w:t>
      </w:r>
    </w:p>
    <w:p w:rsidR="00231053" w:rsidRDefault="00CC5C1F" w:rsidP="000B2651">
      <w:pPr>
        <w:jc w:val="both"/>
      </w:pPr>
      <w:r>
        <w:rPr>
          <w:noProof/>
        </w:rPr>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41" type="#_x0000_t66" style="position:absolute;left:0;text-align:left;margin-left:7.8pt;margin-top:113.5pt;width:30.65pt;height:14.4pt;rotation:180;z-index:251672576" fillcolor="yellow"/>
        </w:pict>
      </w:r>
      <w:r w:rsidR="00231053">
        <w:rPr>
          <w:noProof/>
        </w:rPr>
        <w:drawing>
          <wp:inline distT="0" distB="0" distL="0" distR="0">
            <wp:extent cx="3606744" cy="2226365"/>
            <wp:effectExtent l="19050" t="0" r="0" b="0"/>
            <wp:docPr id="83" name="Immagine 83"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mmagine correlata"/>
                    <pic:cNvPicPr>
                      <a:picLocks noChangeAspect="1" noChangeArrowheads="1"/>
                    </pic:cNvPicPr>
                  </pic:nvPicPr>
                  <pic:blipFill>
                    <a:blip r:embed="rId204"/>
                    <a:srcRect/>
                    <a:stretch>
                      <a:fillRect/>
                    </a:stretch>
                  </pic:blipFill>
                  <pic:spPr bwMode="auto">
                    <a:xfrm>
                      <a:off x="0" y="0"/>
                      <a:ext cx="3607200" cy="2226646"/>
                    </a:xfrm>
                    <a:prstGeom prst="rect">
                      <a:avLst/>
                    </a:prstGeom>
                    <a:noFill/>
                    <a:ln w="9525">
                      <a:noFill/>
                      <a:miter lim="800000"/>
                      <a:headEnd/>
                      <a:tailEnd/>
                    </a:ln>
                  </pic:spPr>
                </pic:pic>
              </a:graphicData>
            </a:graphic>
          </wp:inline>
        </w:drawing>
      </w:r>
      <w:r w:rsidRPr="00CC5C1F">
        <w:t xml:space="preserve"> </w:t>
      </w:r>
      <w:r>
        <w:rPr>
          <w:noProof/>
        </w:rPr>
        <w:drawing>
          <wp:inline distT="0" distB="0" distL="0" distR="0">
            <wp:extent cx="1769993" cy="2244549"/>
            <wp:effectExtent l="19050" t="0" r="1657" b="0"/>
            <wp:docPr id="86" name="Immagine 86" descr="Risultati immagini per volgograd cart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Risultati immagini per volgograd cartina"/>
                    <pic:cNvPicPr>
                      <a:picLocks noChangeAspect="1" noChangeArrowheads="1"/>
                    </pic:cNvPicPr>
                  </pic:nvPicPr>
                  <pic:blipFill>
                    <a:blip r:embed="rId205"/>
                    <a:srcRect/>
                    <a:stretch>
                      <a:fillRect/>
                    </a:stretch>
                  </pic:blipFill>
                  <pic:spPr bwMode="auto">
                    <a:xfrm>
                      <a:off x="0" y="0"/>
                      <a:ext cx="1772489" cy="2247714"/>
                    </a:xfrm>
                    <a:prstGeom prst="rect">
                      <a:avLst/>
                    </a:prstGeom>
                    <a:noFill/>
                    <a:ln w="9525">
                      <a:noFill/>
                      <a:miter lim="800000"/>
                      <a:headEnd/>
                      <a:tailEnd/>
                    </a:ln>
                  </pic:spPr>
                </pic:pic>
              </a:graphicData>
            </a:graphic>
          </wp:inline>
        </w:drawing>
      </w:r>
    </w:p>
    <w:p w:rsidR="00CC5C1F" w:rsidRDefault="00CC5C1F" w:rsidP="000B2651">
      <w:pPr>
        <w:jc w:val="both"/>
        <w:rPr>
          <w:sz w:val="28"/>
        </w:rPr>
      </w:pPr>
      <w:r>
        <w:rPr>
          <w:sz w:val="28"/>
        </w:rPr>
        <w:t>I Tedeschi abbandonarono l’Ucraina dopo la fine della 1° Guerra mondiale. I cosacchi confluirono nell’esercito di Denikin, che era appoggiato dagli alleati. Intanto gli SR erano stati sconfitti sul fronte orientale e conquistarono Samara il 7 ottobre. Il Komuc si trasferì a Omsk e divenne ostaggio dei Bianchi, non interessati alla Costituente. Kolcak riprese il comando dei Bianchi e mandò in esilio gli SR.</w:t>
      </w:r>
    </w:p>
    <w:p w:rsidR="00CC5C1F" w:rsidRDefault="00CC5C1F" w:rsidP="000B2651">
      <w:pPr>
        <w:jc w:val="both"/>
        <w:rPr>
          <w:sz w:val="28"/>
        </w:rPr>
      </w:pPr>
      <w:r>
        <w:rPr>
          <w:sz w:val="28"/>
        </w:rPr>
        <w:t>Alla fine del 1918 gli alleati, polacchi e rumeni si unirono al conflitto:</w:t>
      </w:r>
    </w:p>
    <w:p w:rsidR="00CC5C1F" w:rsidRDefault="00CC5C1F" w:rsidP="00CB56C2">
      <w:pPr>
        <w:pStyle w:val="Paragrafoelenco"/>
        <w:numPr>
          <w:ilvl w:val="0"/>
          <w:numId w:val="56"/>
        </w:numPr>
        <w:jc w:val="both"/>
        <w:rPr>
          <w:sz w:val="28"/>
        </w:rPr>
      </w:pPr>
      <w:r w:rsidRPr="00CC5C1F">
        <w:rPr>
          <w:sz w:val="28"/>
        </w:rPr>
        <w:t>Canadesi, statunitensi, italiani e serbi affiancar</w:t>
      </w:r>
      <w:r>
        <w:rPr>
          <w:sz w:val="28"/>
        </w:rPr>
        <w:t>ono gli inglesi a nord, in Care</w:t>
      </w:r>
      <w:r w:rsidRPr="00CC5C1F">
        <w:rPr>
          <w:sz w:val="28"/>
        </w:rPr>
        <w:t>lia e Mar Bianco</w:t>
      </w:r>
      <w:r>
        <w:rPr>
          <w:sz w:val="28"/>
        </w:rPr>
        <w:t>;</w:t>
      </w:r>
    </w:p>
    <w:p w:rsidR="00CC5C1F" w:rsidRDefault="00CC5C1F" w:rsidP="00CB56C2">
      <w:pPr>
        <w:pStyle w:val="Paragrafoelenco"/>
        <w:numPr>
          <w:ilvl w:val="0"/>
          <w:numId w:val="56"/>
        </w:numPr>
        <w:jc w:val="both"/>
        <w:rPr>
          <w:sz w:val="28"/>
        </w:rPr>
      </w:pPr>
      <w:r>
        <w:rPr>
          <w:sz w:val="28"/>
        </w:rPr>
        <w:t>Francesi, inglesi, polacchi, rumeni a Sud-Ovest e a Sud, nel Mar Nero e Caucaso;</w:t>
      </w:r>
    </w:p>
    <w:p w:rsidR="00CC5C1F" w:rsidRDefault="00CC5C1F" w:rsidP="00CB56C2">
      <w:pPr>
        <w:pStyle w:val="Paragrafoelenco"/>
        <w:numPr>
          <w:ilvl w:val="0"/>
          <w:numId w:val="56"/>
        </w:numPr>
        <w:jc w:val="both"/>
        <w:rPr>
          <w:sz w:val="28"/>
        </w:rPr>
      </w:pPr>
      <w:r>
        <w:rPr>
          <w:sz w:val="28"/>
        </w:rPr>
        <w:lastRenderedPageBreak/>
        <w:t>Giapponesi, inglesi e Statunitensi a Est, in Siberia;</w:t>
      </w:r>
    </w:p>
    <w:p w:rsidR="00CC5C1F" w:rsidRPr="00CC5C1F" w:rsidRDefault="00CC5C1F" w:rsidP="000B2651">
      <w:pPr>
        <w:jc w:val="both"/>
        <w:rPr>
          <w:sz w:val="28"/>
        </w:rPr>
      </w:pPr>
      <w:r>
        <w:rPr>
          <w:sz w:val="28"/>
        </w:rPr>
        <w:t>I cont</w:t>
      </w:r>
      <w:r w:rsidR="00B37181">
        <w:rPr>
          <w:sz w:val="28"/>
        </w:rPr>
        <w:t>ingenti erano limitati. Tutti volevano partecipare ma nessuno voleva impegnarsi seriamente. I soldati erano stanchi e l’opinione pubblica era spaccata. Soprattutto gli Stati Uniti si volevano disimpegnare. Gli anglo-francesi inviarono a Kolcak grandi rifornimenti tramite la Transiberiana, ma rifiutarono di riconoscere il governo russo in esilio (fra cui L’vov, Maklakov, Sazonov)</w:t>
      </w:r>
    </w:p>
    <w:p w:rsidR="00CC5C1F" w:rsidRDefault="00CC5C1F" w:rsidP="000B2651">
      <w:pPr>
        <w:jc w:val="both"/>
        <w:rPr>
          <w:sz w:val="28"/>
        </w:rPr>
      </w:pPr>
      <w:r>
        <w:rPr>
          <w:noProof/>
        </w:rPr>
        <w:drawing>
          <wp:inline distT="0" distB="0" distL="0" distR="0">
            <wp:extent cx="1265859" cy="1789044"/>
            <wp:effectExtent l="19050" t="0" r="0" b="0"/>
            <wp:docPr id="89" name="Immagine 89" descr="Vice-AdmiralKolcha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Vice-AdmiralKolchak.jpg"/>
                    <pic:cNvPicPr>
                      <a:picLocks noChangeAspect="1" noChangeArrowheads="1"/>
                    </pic:cNvPicPr>
                  </pic:nvPicPr>
                  <pic:blipFill>
                    <a:blip r:embed="rId206" cstate="print"/>
                    <a:srcRect/>
                    <a:stretch>
                      <a:fillRect/>
                    </a:stretch>
                  </pic:blipFill>
                  <pic:spPr bwMode="auto">
                    <a:xfrm>
                      <a:off x="0" y="0"/>
                      <a:ext cx="1266273" cy="1789630"/>
                    </a:xfrm>
                    <a:prstGeom prst="rect">
                      <a:avLst/>
                    </a:prstGeom>
                    <a:noFill/>
                    <a:ln w="9525">
                      <a:noFill/>
                      <a:miter lim="800000"/>
                      <a:headEnd/>
                      <a:tailEnd/>
                    </a:ln>
                  </pic:spPr>
                </pic:pic>
              </a:graphicData>
            </a:graphic>
          </wp:inline>
        </w:drawing>
      </w:r>
      <w:r w:rsidR="005014D7" w:rsidRPr="005014D7">
        <w:t xml:space="preserve"> </w:t>
      </w:r>
      <w:r w:rsidR="005014D7">
        <w:rPr>
          <w:noProof/>
        </w:rPr>
        <w:drawing>
          <wp:inline distT="0" distB="0" distL="0" distR="0">
            <wp:extent cx="3074007" cy="1790709"/>
            <wp:effectExtent l="19050" t="0" r="0" b="0"/>
            <wp:docPr id="98" name="Immagine 98" descr="Risultati immagini per armata bianca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Risultati immagini per armata bianca 1918"/>
                    <pic:cNvPicPr>
                      <a:picLocks noChangeAspect="1" noChangeArrowheads="1"/>
                    </pic:cNvPicPr>
                  </pic:nvPicPr>
                  <pic:blipFill>
                    <a:blip r:embed="rId207"/>
                    <a:srcRect/>
                    <a:stretch>
                      <a:fillRect/>
                    </a:stretch>
                  </pic:blipFill>
                  <pic:spPr bwMode="auto">
                    <a:xfrm>
                      <a:off x="0" y="0"/>
                      <a:ext cx="3073238" cy="1790261"/>
                    </a:xfrm>
                    <a:prstGeom prst="rect">
                      <a:avLst/>
                    </a:prstGeom>
                    <a:noFill/>
                    <a:ln w="9525">
                      <a:noFill/>
                      <a:miter lim="800000"/>
                      <a:headEnd/>
                      <a:tailEnd/>
                    </a:ln>
                  </pic:spPr>
                </pic:pic>
              </a:graphicData>
            </a:graphic>
          </wp:inline>
        </w:drawing>
      </w:r>
      <w:r w:rsidR="00383BAC" w:rsidRPr="00383BAC">
        <w:t xml:space="preserve"> </w:t>
      </w:r>
      <w:r w:rsidR="00383BAC">
        <w:rPr>
          <w:noProof/>
        </w:rPr>
        <w:drawing>
          <wp:inline distT="0" distB="0" distL="0" distR="0">
            <wp:extent cx="1389858" cy="1789044"/>
            <wp:effectExtent l="19050" t="0" r="792" b="0"/>
            <wp:docPr id="113" name="Immagine 113" descr="Wrangel Pyotr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Wrangel Pyotr 5.jpg"/>
                    <pic:cNvPicPr>
                      <a:picLocks noChangeAspect="1" noChangeArrowheads="1"/>
                    </pic:cNvPicPr>
                  </pic:nvPicPr>
                  <pic:blipFill>
                    <a:blip r:embed="rId208" cstate="print"/>
                    <a:srcRect/>
                    <a:stretch>
                      <a:fillRect/>
                    </a:stretch>
                  </pic:blipFill>
                  <pic:spPr bwMode="auto">
                    <a:xfrm>
                      <a:off x="0" y="0"/>
                      <a:ext cx="1389853" cy="1789037"/>
                    </a:xfrm>
                    <a:prstGeom prst="rect">
                      <a:avLst/>
                    </a:prstGeom>
                    <a:noFill/>
                    <a:ln w="9525">
                      <a:noFill/>
                      <a:miter lim="800000"/>
                      <a:headEnd/>
                      <a:tailEnd/>
                    </a:ln>
                  </pic:spPr>
                </pic:pic>
              </a:graphicData>
            </a:graphic>
          </wp:inline>
        </w:drawing>
      </w:r>
    </w:p>
    <w:p w:rsidR="00B37181" w:rsidRDefault="00D704F7" w:rsidP="000B2651">
      <w:pPr>
        <w:pStyle w:val="Titolo2"/>
        <w:jc w:val="both"/>
        <w:rPr>
          <w:sz w:val="28"/>
        </w:rPr>
      </w:pPr>
      <w:bookmarkStart w:id="44" w:name="_Toc493625469"/>
      <w:r w:rsidRPr="00D704F7">
        <w:rPr>
          <w:sz w:val="28"/>
        </w:rPr>
        <w:t>L’Armata rossa e il comunismo di guerra</w:t>
      </w:r>
      <w:bookmarkEnd w:id="44"/>
    </w:p>
    <w:p w:rsidR="00D704F7" w:rsidRDefault="00D704F7" w:rsidP="000B2651">
      <w:pPr>
        <w:jc w:val="both"/>
        <w:rPr>
          <w:sz w:val="28"/>
        </w:rPr>
      </w:pPr>
      <w:r>
        <w:rPr>
          <w:sz w:val="28"/>
        </w:rPr>
        <w:t>Il primo nucleo dell’Armata Rossa fu costituito nel febbraio 1918. Era un accorpamento di Guardie Rosse delle fabbriche, dei reparti filo-bolscevichi della Marina e dell’esercito.</w:t>
      </w:r>
      <w:r w:rsidR="005014D7">
        <w:rPr>
          <w:sz w:val="28"/>
        </w:rPr>
        <w:t xml:space="preserve"> Già in estate assunse le dimensioni di un esercito. Fu istituita la leva obbligatoria nei territori dei bolscevichi. I territori  erano diventati “un unico campo militare: si eseguiva la legge marziale sotto l’autorità del Consiglio militare rivoluzionario sotto il comando di Trosckij. L’Armata Rossa soffriva della penuria di generali e ricorse ai comandanti di carriera dello zarismo. Nel 1920 ¾ dello Stato maggiore dell’Armata rossa era ex zarista. Essi furono posti sotto il rigido controllo dei commissari di polizia.</w:t>
      </w:r>
    </w:p>
    <w:p w:rsidR="00D704F7" w:rsidRDefault="00D704F7" w:rsidP="000B2651">
      <w:pPr>
        <w:jc w:val="both"/>
      </w:pPr>
      <w:r>
        <w:rPr>
          <w:noProof/>
        </w:rPr>
        <w:drawing>
          <wp:inline distT="0" distB="0" distL="0" distR="0">
            <wp:extent cx="2854325" cy="1781175"/>
            <wp:effectExtent l="19050" t="0" r="3175" b="0"/>
            <wp:docPr id="92" name="Immagine 92" descr="Risultati immagini per armata rossa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Risultati immagini per armata rossa 1918"/>
                    <pic:cNvPicPr>
                      <a:picLocks noChangeAspect="1" noChangeArrowheads="1"/>
                    </pic:cNvPicPr>
                  </pic:nvPicPr>
                  <pic:blipFill>
                    <a:blip r:embed="rId209"/>
                    <a:srcRect/>
                    <a:stretch>
                      <a:fillRect/>
                    </a:stretch>
                  </pic:blipFill>
                  <pic:spPr bwMode="auto">
                    <a:xfrm>
                      <a:off x="0" y="0"/>
                      <a:ext cx="2854325" cy="1781175"/>
                    </a:xfrm>
                    <a:prstGeom prst="rect">
                      <a:avLst/>
                    </a:prstGeom>
                    <a:noFill/>
                    <a:ln w="9525">
                      <a:noFill/>
                      <a:miter lim="800000"/>
                      <a:headEnd/>
                      <a:tailEnd/>
                    </a:ln>
                  </pic:spPr>
                </pic:pic>
              </a:graphicData>
            </a:graphic>
          </wp:inline>
        </w:drawing>
      </w:r>
      <w:r w:rsidR="005014D7" w:rsidRPr="005014D7">
        <w:t xml:space="preserve"> </w:t>
      </w:r>
      <w:r w:rsidR="005014D7">
        <w:rPr>
          <w:noProof/>
        </w:rPr>
        <w:drawing>
          <wp:inline distT="0" distB="0" distL="0" distR="0">
            <wp:extent cx="3044438" cy="1766870"/>
            <wp:effectExtent l="19050" t="0" r="3562" b="0"/>
            <wp:docPr id="95" name="Immagine 95" descr="Risultati immagini per armata rossa 1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Risultati immagini per armata rossa 1918"/>
                    <pic:cNvPicPr>
                      <a:picLocks noChangeAspect="1" noChangeArrowheads="1"/>
                    </pic:cNvPicPr>
                  </pic:nvPicPr>
                  <pic:blipFill>
                    <a:blip r:embed="rId210"/>
                    <a:srcRect/>
                    <a:stretch>
                      <a:fillRect/>
                    </a:stretch>
                  </pic:blipFill>
                  <pic:spPr bwMode="auto">
                    <a:xfrm>
                      <a:off x="0" y="0"/>
                      <a:ext cx="3044428" cy="1766864"/>
                    </a:xfrm>
                    <a:prstGeom prst="rect">
                      <a:avLst/>
                    </a:prstGeom>
                    <a:noFill/>
                    <a:ln w="9525">
                      <a:noFill/>
                      <a:miter lim="800000"/>
                      <a:headEnd/>
                      <a:tailEnd/>
                    </a:ln>
                  </pic:spPr>
                </pic:pic>
              </a:graphicData>
            </a:graphic>
          </wp:inline>
        </w:drawing>
      </w:r>
    </w:p>
    <w:p w:rsidR="005014D7" w:rsidRDefault="005014D7" w:rsidP="000B2651">
      <w:pPr>
        <w:jc w:val="both"/>
        <w:rPr>
          <w:sz w:val="28"/>
        </w:rPr>
      </w:pPr>
      <w:r>
        <w:rPr>
          <w:sz w:val="28"/>
        </w:rPr>
        <w:t xml:space="preserve">Tutto ciò scatenò il malcontento, la cosiddetta “opposizione militare”, con cui solidarizzava Stalin. Questo malcontento era una fanatica applicazione della </w:t>
      </w:r>
      <w:r>
        <w:rPr>
          <w:sz w:val="28"/>
        </w:rPr>
        <w:lastRenderedPageBreak/>
        <w:t>distruzione del “nemico di classe” ad ogni costo. La leva obbligatoria ebbe l’effetto di “contadinizzare” l’Armata Rossa, che produceva varie diserzioni soprattutto durante il periodo del raccolto. L’Armata Rossa diede grande possibilità di promozione sociale: sarà il bacino da cui nasceranno i futuri quadri del comando sovietico, di estrazione contadina e forgiati dalla brutale guerra civile.</w:t>
      </w:r>
    </w:p>
    <w:p w:rsidR="005014D7" w:rsidRDefault="005014D7" w:rsidP="000B2651">
      <w:pPr>
        <w:jc w:val="both"/>
        <w:rPr>
          <w:sz w:val="28"/>
        </w:rPr>
      </w:pPr>
      <w:r>
        <w:rPr>
          <w:noProof/>
        </w:rPr>
        <w:drawing>
          <wp:inline distT="0" distB="0" distL="0" distR="0">
            <wp:extent cx="2076457" cy="3002944"/>
            <wp:effectExtent l="19050" t="0" r="0" b="0"/>
            <wp:docPr id="101" name="Immagine 101" descr="Immagine correla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Immagine correlata"/>
                    <pic:cNvPicPr>
                      <a:picLocks noChangeAspect="1" noChangeArrowheads="1"/>
                    </pic:cNvPicPr>
                  </pic:nvPicPr>
                  <pic:blipFill>
                    <a:blip r:embed="rId211" cstate="print"/>
                    <a:srcRect/>
                    <a:stretch>
                      <a:fillRect/>
                    </a:stretch>
                  </pic:blipFill>
                  <pic:spPr bwMode="auto">
                    <a:xfrm>
                      <a:off x="0" y="0"/>
                      <a:ext cx="2078500" cy="3005898"/>
                    </a:xfrm>
                    <a:prstGeom prst="rect">
                      <a:avLst/>
                    </a:prstGeom>
                    <a:noFill/>
                    <a:ln w="9525">
                      <a:noFill/>
                      <a:miter lim="800000"/>
                      <a:headEnd/>
                      <a:tailEnd/>
                    </a:ln>
                  </pic:spPr>
                </pic:pic>
              </a:graphicData>
            </a:graphic>
          </wp:inline>
        </w:drawing>
      </w:r>
      <w:r w:rsidR="005A2141" w:rsidRPr="005A2141">
        <w:t xml:space="preserve"> </w:t>
      </w:r>
      <w:r w:rsidR="005A2141">
        <w:rPr>
          <w:noProof/>
        </w:rPr>
        <w:drawing>
          <wp:inline distT="0" distB="0" distL="0" distR="0">
            <wp:extent cx="1762042" cy="3001961"/>
            <wp:effectExtent l="19050" t="0" r="0" b="0"/>
            <wp:docPr id="104" name="Immagine 104" descr="Risultati immagini per armata rossa manif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Risultati immagini per armata rossa manifesti"/>
                    <pic:cNvPicPr>
                      <a:picLocks noChangeAspect="1" noChangeArrowheads="1"/>
                    </pic:cNvPicPr>
                  </pic:nvPicPr>
                  <pic:blipFill>
                    <a:blip r:embed="rId212" cstate="print"/>
                    <a:srcRect/>
                    <a:stretch>
                      <a:fillRect/>
                    </a:stretch>
                  </pic:blipFill>
                  <pic:spPr bwMode="auto">
                    <a:xfrm>
                      <a:off x="0" y="0"/>
                      <a:ext cx="1764337" cy="3005872"/>
                    </a:xfrm>
                    <a:prstGeom prst="rect">
                      <a:avLst/>
                    </a:prstGeom>
                    <a:noFill/>
                    <a:ln w="9525">
                      <a:noFill/>
                      <a:miter lim="800000"/>
                      <a:headEnd/>
                      <a:tailEnd/>
                    </a:ln>
                  </pic:spPr>
                </pic:pic>
              </a:graphicData>
            </a:graphic>
          </wp:inline>
        </w:drawing>
      </w:r>
      <w:r w:rsidR="005A2141" w:rsidRPr="005A2141">
        <w:t xml:space="preserve"> </w:t>
      </w:r>
      <w:r w:rsidR="005A2141">
        <w:rPr>
          <w:noProof/>
        </w:rPr>
        <w:drawing>
          <wp:inline distT="0" distB="0" distL="0" distR="0">
            <wp:extent cx="1905166" cy="2997642"/>
            <wp:effectExtent l="19050" t="0" r="0" b="0"/>
            <wp:docPr id="107" name="Immagine 107" descr="https://upload.wikimedia.org/wikipedia/commons/c/cf/WhiteArmyPropagandaPosterOfTrot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ttps://upload.wikimedia.org/wikipedia/commons/c/cf/WhiteArmyPropagandaPosterOfTrotsky.jpg"/>
                    <pic:cNvPicPr>
                      <a:picLocks noChangeAspect="1" noChangeArrowheads="1"/>
                    </pic:cNvPicPr>
                  </pic:nvPicPr>
                  <pic:blipFill>
                    <a:blip r:embed="rId213"/>
                    <a:srcRect/>
                    <a:stretch>
                      <a:fillRect/>
                    </a:stretch>
                  </pic:blipFill>
                  <pic:spPr bwMode="auto">
                    <a:xfrm>
                      <a:off x="0" y="0"/>
                      <a:ext cx="1906369" cy="2999535"/>
                    </a:xfrm>
                    <a:prstGeom prst="rect">
                      <a:avLst/>
                    </a:prstGeom>
                    <a:noFill/>
                    <a:ln w="9525">
                      <a:noFill/>
                      <a:miter lim="800000"/>
                      <a:headEnd/>
                      <a:tailEnd/>
                    </a:ln>
                  </pic:spPr>
                </pic:pic>
              </a:graphicData>
            </a:graphic>
          </wp:inline>
        </w:drawing>
      </w:r>
    </w:p>
    <w:p w:rsidR="005014D7" w:rsidRDefault="005014D7" w:rsidP="000B2651">
      <w:pPr>
        <w:jc w:val="both"/>
        <w:rPr>
          <w:sz w:val="28"/>
        </w:rPr>
      </w:pPr>
      <w:r>
        <w:rPr>
          <w:sz w:val="28"/>
        </w:rPr>
        <w:t>L’Armata Rossa non aveva grandi mezzi ma nel 1920 mobilitò ben 5 milioni di uomini, disorganizzati e mal equipaggiati, soggetto a un grande ricambio: si disertava appena ricevuto un pastrano o un paio di stivali o per le condizioni disagevoli.</w:t>
      </w:r>
      <w:r w:rsidR="005A2141">
        <w:rPr>
          <w:sz w:val="28"/>
        </w:rPr>
        <w:t xml:space="preserve"> I contadini sceglievano l’Armata Rossa e non l’Armata Bianca perché non volevano essere espropriati dalle terre confiscate. Uno degli obiettivi dei bianchi era la restituzione delle terre ai proprietari. C’era anche il caso che interi villaggi si dichiaravano neutrali pur di rimanere lontano dalla guerra. Un elemento di debolezza per i Rossi furono le “Armate Verdi” composta da contadini e disertori esasperati dalle confische.</w:t>
      </w:r>
    </w:p>
    <w:p w:rsidR="005A2141" w:rsidRDefault="005A2141" w:rsidP="000B2651">
      <w:pPr>
        <w:jc w:val="both"/>
        <w:rPr>
          <w:sz w:val="28"/>
        </w:rPr>
      </w:pPr>
      <w:r>
        <w:rPr>
          <w:sz w:val="28"/>
        </w:rPr>
        <w:t>L’economia russa era in forte crisi per la guerra e per il malfunzionamento degli scambi fra città e campagna:</w:t>
      </w:r>
    </w:p>
    <w:p w:rsidR="005A2141" w:rsidRDefault="005A2141" w:rsidP="00CB56C2">
      <w:pPr>
        <w:pStyle w:val="Paragrafoelenco"/>
        <w:numPr>
          <w:ilvl w:val="0"/>
          <w:numId w:val="57"/>
        </w:numPr>
        <w:jc w:val="both"/>
        <w:rPr>
          <w:sz w:val="28"/>
        </w:rPr>
      </w:pPr>
      <w:r>
        <w:rPr>
          <w:sz w:val="28"/>
        </w:rPr>
        <w:t>Si presentavano crisi di approvvigionamenti (ad esempio a Pietrogrado)</w:t>
      </w:r>
    </w:p>
    <w:p w:rsidR="005A2141" w:rsidRDefault="005A2141" w:rsidP="00CB56C2">
      <w:pPr>
        <w:pStyle w:val="Paragrafoelenco"/>
        <w:numPr>
          <w:ilvl w:val="0"/>
          <w:numId w:val="57"/>
        </w:numPr>
        <w:jc w:val="both"/>
        <w:rPr>
          <w:sz w:val="28"/>
        </w:rPr>
      </w:pPr>
      <w:r>
        <w:rPr>
          <w:sz w:val="28"/>
        </w:rPr>
        <w:t>Paralisi della distribuzione (occultamento dei beni di consumo, malfunzionamento dei trasporti)</w:t>
      </w:r>
    </w:p>
    <w:p w:rsidR="005A2141" w:rsidRDefault="005A2141" w:rsidP="00CB56C2">
      <w:pPr>
        <w:pStyle w:val="Paragrafoelenco"/>
        <w:numPr>
          <w:ilvl w:val="0"/>
          <w:numId w:val="57"/>
        </w:numPr>
        <w:jc w:val="both"/>
        <w:rPr>
          <w:sz w:val="28"/>
        </w:rPr>
      </w:pPr>
      <w:r>
        <w:rPr>
          <w:sz w:val="28"/>
        </w:rPr>
        <w:t>Inflazione galoppante</w:t>
      </w:r>
    </w:p>
    <w:p w:rsidR="005A2141" w:rsidRDefault="005A2141" w:rsidP="00CB56C2">
      <w:pPr>
        <w:pStyle w:val="Paragrafoelenco"/>
        <w:numPr>
          <w:ilvl w:val="0"/>
          <w:numId w:val="57"/>
        </w:numPr>
        <w:jc w:val="both"/>
        <w:rPr>
          <w:sz w:val="28"/>
        </w:rPr>
      </w:pPr>
      <w:r>
        <w:rPr>
          <w:sz w:val="28"/>
        </w:rPr>
        <w:t>Uso di tecniche obsolete nelle campagne</w:t>
      </w:r>
    </w:p>
    <w:p w:rsidR="00515AA3" w:rsidRDefault="00515AA3" w:rsidP="00CB56C2">
      <w:pPr>
        <w:pStyle w:val="Paragrafoelenco"/>
        <w:numPr>
          <w:ilvl w:val="0"/>
          <w:numId w:val="57"/>
        </w:numPr>
        <w:jc w:val="both"/>
        <w:rPr>
          <w:sz w:val="28"/>
        </w:rPr>
      </w:pPr>
      <w:r>
        <w:rPr>
          <w:sz w:val="28"/>
        </w:rPr>
        <w:lastRenderedPageBreak/>
        <w:t>Crisi delle fabbriche e conseguente chiusura e fuga dalle città</w:t>
      </w:r>
    </w:p>
    <w:p w:rsidR="00515AA3" w:rsidRDefault="00515AA3" w:rsidP="00CB56C2">
      <w:pPr>
        <w:pStyle w:val="Paragrafoelenco"/>
        <w:numPr>
          <w:ilvl w:val="0"/>
          <w:numId w:val="57"/>
        </w:numPr>
        <w:jc w:val="both"/>
        <w:rPr>
          <w:sz w:val="28"/>
        </w:rPr>
      </w:pPr>
      <w:r>
        <w:rPr>
          <w:sz w:val="28"/>
        </w:rPr>
        <w:t>I benestanti barattavano e gli operai usavano materiali di scarto per produrre utensili</w:t>
      </w:r>
    </w:p>
    <w:p w:rsidR="00515AA3" w:rsidRDefault="00515AA3" w:rsidP="000B2651">
      <w:pPr>
        <w:jc w:val="both"/>
        <w:rPr>
          <w:sz w:val="28"/>
        </w:rPr>
      </w:pPr>
      <w:r>
        <w:rPr>
          <w:sz w:val="28"/>
        </w:rPr>
        <w:t xml:space="preserve">Si era ritornato al baratto alle soglie del 1920. Lo Stato bolscevico rispose con la politica del “comunismo di guerra”. Alcuni ne lodano il pragmatismo e la decisione eccezionale, altri pensano che derivasse dalla concezione ideologica di Lenin. Ma di fronte a condizioni estreme  si ricorreva a misure estreme frutto di improvvisazione e di ideologia. Il decreto del 19 Febbraio 1918 nazionalizzò le terre in uso perpetuo senza che i contadini vendessero al prezzo fissato dallo Stato. il 9 maggio fu istituito il Monopolio di Stato e si iniziò la “battaglia del grano”: ammassi annonari forzati, costituzione dei </w:t>
      </w:r>
      <w:r>
        <w:rPr>
          <w:i/>
          <w:sz w:val="28"/>
        </w:rPr>
        <w:t>komdedy</w:t>
      </w:r>
      <w:r>
        <w:rPr>
          <w:sz w:val="28"/>
        </w:rPr>
        <w:t xml:space="preserve"> (comitati dei contadini poveri) per la lotta ai </w:t>
      </w:r>
      <w:r>
        <w:rPr>
          <w:i/>
          <w:sz w:val="28"/>
        </w:rPr>
        <w:t>kulaki</w:t>
      </w:r>
      <w:r>
        <w:rPr>
          <w:sz w:val="28"/>
        </w:rPr>
        <w:t xml:space="preserve"> (contadini benestanti) ritenute le vere cause dell’occultamento dei beni.</w:t>
      </w:r>
    </w:p>
    <w:p w:rsidR="00D61487" w:rsidRDefault="00D61487" w:rsidP="000B2651">
      <w:pPr>
        <w:jc w:val="both"/>
        <w:rPr>
          <w:sz w:val="28"/>
        </w:rPr>
      </w:pPr>
      <w:r>
        <w:rPr>
          <w:sz w:val="28"/>
        </w:rPr>
        <w:t xml:space="preserve">Inoltre i “fagottari” prendevano d’assalto i trasporti ferroviari per gli alimentari. Si tentò di stroncare il libero mercato per costituire un sistema statale di distribuzione dei beni. Si procedeva al disciplinamento del lavoro, al ripristino dei tecnici borghesi per le aziende e la burocrazia, all’imposizione del controllo statale al posto del controllo operaio. Furono esautorati i consigli di fabbrica vero nucleo della rivoluzione di Ottobre. </w:t>
      </w:r>
    </w:p>
    <w:p w:rsidR="00D61487" w:rsidRDefault="00D61487" w:rsidP="000B2651">
      <w:pPr>
        <w:jc w:val="both"/>
        <w:rPr>
          <w:sz w:val="28"/>
        </w:rPr>
      </w:pPr>
      <w:r>
        <w:rPr>
          <w:sz w:val="28"/>
        </w:rPr>
        <w:t>Il 28 giugno si nazionalizzò l’industria</w:t>
      </w:r>
      <w:r>
        <w:rPr>
          <w:rStyle w:val="Rimandonotaapidipagina"/>
          <w:sz w:val="28"/>
        </w:rPr>
        <w:footnoteReference w:id="53"/>
      </w:r>
      <w:r>
        <w:rPr>
          <w:sz w:val="28"/>
        </w:rPr>
        <w:t>. L’industria fu sottratta dalla gestione del Soviet e accentrata nelle mani del Consiglio superiore dell’economia nazionale (VSNCH). Gli operai tornarono a scioperare.</w:t>
      </w:r>
    </w:p>
    <w:p w:rsidR="007F3A37" w:rsidRDefault="007F3A37" w:rsidP="000B2651">
      <w:pPr>
        <w:pStyle w:val="Titolo2"/>
        <w:jc w:val="both"/>
      </w:pPr>
      <w:bookmarkStart w:id="45" w:name="_Toc493625470"/>
      <w:r>
        <w:lastRenderedPageBreak/>
        <w:t>Il 1919 e la sconfitta dei bianchi</w:t>
      </w:r>
      <w:bookmarkEnd w:id="45"/>
    </w:p>
    <w:p w:rsidR="007F3A37" w:rsidRDefault="009C7E78" w:rsidP="000B2651">
      <w:pPr>
        <w:jc w:val="both"/>
        <w:rPr>
          <w:sz w:val="28"/>
        </w:rPr>
      </w:pPr>
      <w:r>
        <w:rPr>
          <w:sz w:val="28"/>
        </w:rPr>
        <w:t>Con la fine della guerra nel novembre 1918, i bolscevichi non era più isolati come prima. In Germania era nata anche la Lega Spartachista che perseguiva l’ideale bolscevico. I bolscevichi ridiscussero il valore internazionale del comunismo in modo da esportare la rivoluzione. Nel gennaio 1919 si costituì la nuova Internazionale, la 3° , e nel mese di Marzo si riunì il 1° Congresso del Comintern, che lanciò l’appello per gli operati di tutto il mondo in modo da insorgere e sollecitare di cessare l’aggressione alla Russia sovietica.</w:t>
      </w:r>
    </w:p>
    <w:p w:rsidR="009C7E78" w:rsidRDefault="00E70B3D" w:rsidP="000B2651">
      <w:pPr>
        <w:jc w:val="both"/>
        <w:rPr>
          <w:sz w:val="28"/>
        </w:rPr>
      </w:pPr>
      <w:r>
        <w:rPr>
          <w:sz w:val="28"/>
        </w:rPr>
        <w:t>La primavera estate del 1919 mise in pericolo lo Stato sovietico:</w:t>
      </w:r>
    </w:p>
    <w:p w:rsidR="00E70B3D" w:rsidRDefault="00E70B3D" w:rsidP="00CB56C2">
      <w:pPr>
        <w:pStyle w:val="Paragrafoelenco"/>
        <w:numPr>
          <w:ilvl w:val="0"/>
          <w:numId w:val="58"/>
        </w:numPr>
        <w:jc w:val="both"/>
        <w:rPr>
          <w:sz w:val="28"/>
        </w:rPr>
      </w:pPr>
      <w:r>
        <w:rPr>
          <w:sz w:val="28"/>
        </w:rPr>
        <w:t>Sul piano politico: il comandante della Polonia, Josef Pilsduski cercò d formare una Lega di Stati di frontiera (Polonia, Finlandia, paesi baltici, Ucraina) in funzione antibolscevica. Ma questo tentativo fallì;</w:t>
      </w:r>
    </w:p>
    <w:p w:rsidR="00E70B3D" w:rsidRDefault="00E70B3D" w:rsidP="00CB56C2">
      <w:pPr>
        <w:pStyle w:val="Paragrafoelenco"/>
        <w:numPr>
          <w:ilvl w:val="0"/>
          <w:numId w:val="58"/>
        </w:numPr>
        <w:jc w:val="both"/>
        <w:rPr>
          <w:sz w:val="28"/>
        </w:rPr>
      </w:pPr>
      <w:r>
        <w:rPr>
          <w:sz w:val="28"/>
        </w:rPr>
        <w:t xml:space="preserve">Sul piano militare: le truppe di Kolcak avanzarono verso nord-ovest per unirsi al </w:t>
      </w:r>
      <w:r w:rsidR="00383BAC">
        <w:rPr>
          <w:sz w:val="28"/>
        </w:rPr>
        <w:t xml:space="preserve">governo </w:t>
      </w:r>
      <w:r>
        <w:rPr>
          <w:sz w:val="28"/>
        </w:rPr>
        <w:t>controrivoluzionario</w:t>
      </w:r>
      <w:r w:rsidR="00383BAC">
        <w:rPr>
          <w:sz w:val="28"/>
        </w:rPr>
        <w:t xml:space="preserve"> di</w:t>
      </w:r>
      <w:r>
        <w:rPr>
          <w:sz w:val="28"/>
        </w:rPr>
        <w:t xml:space="preserve"> Archangelsk e verso sud-ovest per ricongiungersi con Denikin. Denikin aveva occupato il bacino del Don, Ucraina sud-orientale e avviando una politica di “decosacchizazione” e rinunciò ancora a Caricyn (Volgograd), mentre il barone Petr Vrangel la conquistò </w:t>
      </w:r>
      <w:r w:rsidR="00383BAC">
        <w:rPr>
          <w:sz w:val="28"/>
        </w:rPr>
        <w:t>in modo spettacolare</w:t>
      </w:r>
    </w:p>
    <w:p w:rsidR="00383BAC" w:rsidRDefault="00383BAC" w:rsidP="000B2651">
      <w:pPr>
        <w:jc w:val="both"/>
        <w:rPr>
          <w:sz w:val="28"/>
        </w:rPr>
      </w:pPr>
      <w:r>
        <w:rPr>
          <w:sz w:val="28"/>
        </w:rPr>
        <w:t>Denik il 3lugliò promulgò la “Direttiva per Mosca”: un errore fatale. Costrinse i bianchi a disporsi su un fronte troppo ampio, complicato anche dal problema rifornimenti. I</w:t>
      </w:r>
      <w:r w:rsidR="00CB2117">
        <w:rPr>
          <w:sz w:val="28"/>
        </w:rPr>
        <w:t xml:space="preserve"> Bianchi conquistarono anche Orel (base dell’arsenale bolscevico)</w:t>
      </w:r>
      <w:r>
        <w:rPr>
          <w:sz w:val="28"/>
        </w:rPr>
        <w:t xml:space="preserve"> ma a Tula, poco distante da Mosca, fu combattuta la battaglia decisiva che segnò la ritirata di Denik. Judenic intanto avanzava vicino a Pietogrado e Trockij organizzò la resistenza.</w:t>
      </w:r>
      <w:r w:rsidR="00CB2117">
        <w:rPr>
          <w:sz w:val="28"/>
        </w:rPr>
        <w:t xml:space="preserve"> I finlandesi non ottennero garanzie di autonomie e lasciarono i Bianchi senza basi logistiche. Kolcak intanto era inseguito dalla controffensiva rossa.</w:t>
      </w:r>
    </w:p>
    <w:p w:rsidR="00CB2117" w:rsidRDefault="00CB2117" w:rsidP="000B2651">
      <w:pPr>
        <w:jc w:val="both"/>
        <w:rPr>
          <w:sz w:val="28"/>
        </w:rPr>
      </w:pPr>
      <w:r>
        <w:rPr>
          <w:sz w:val="28"/>
        </w:rPr>
        <w:t>Mentre il Regime di Omsk, ormai allo sbando, si stava trasferendo a Irkutsk, il treno di Kolcak fu fermato dai rossi. Kolcak fu fucilato. Denikin andò in rotta e si ritirarono anche gli inglesi. I Bianchi si ammassarono a Novorossijsk, ma molti morirono per epidemia di tifo ma alcuni scapparono con le prime navi disponibile. La Crimea rimase la sacca di resistenza. Nell’estate del 1920 Vrangel lanciò l’ultima offensiva ma in autunno andò in esilio con gli ultimi dei suoi.</w:t>
      </w:r>
    </w:p>
    <w:p w:rsidR="00CB2117" w:rsidRDefault="00CB2117" w:rsidP="000B2651">
      <w:pPr>
        <w:jc w:val="both"/>
        <w:rPr>
          <w:sz w:val="28"/>
        </w:rPr>
      </w:pPr>
      <w:r>
        <w:rPr>
          <w:sz w:val="28"/>
        </w:rPr>
        <w:lastRenderedPageBreak/>
        <w:t>Quali sono le ragioni della sconfitta bianca?  Mancanza di coordinamento delle armate, errori tattici nei momenti clou, posizionamento periferico delle basi operative, penuria di mezzi di comunicazione rispetto ai distretti urbani di Pietrogrado e Mosca.</w:t>
      </w:r>
    </w:p>
    <w:p w:rsidR="00CB2117" w:rsidRDefault="00CB2117" w:rsidP="000B2651">
      <w:pPr>
        <w:jc w:val="both"/>
        <w:rPr>
          <w:sz w:val="28"/>
        </w:rPr>
      </w:pPr>
      <w:r>
        <w:rPr>
          <w:sz w:val="28"/>
        </w:rPr>
        <w:t>Inoltre si assommava anche l’inconsistente presa o consenso presso i contadini e il popolo. Questi mantennero una posizione di intransigenza per le loro diverse rivendicazioni: le questioni autonomiste si scontrarono con le ragioni dell’integrità imperiale e il sentimento grande-russo</w:t>
      </w:r>
      <w:r w:rsidR="00D93AC3">
        <w:rPr>
          <w:sz w:val="28"/>
        </w:rPr>
        <w:t>; ma soprattutto la situazione delle terre non convinse i contadini che sarebbero stati privati delle loro confische durante la rivoluzione.</w:t>
      </w:r>
    </w:p>
    <w:p w:rsidR="00D93AC3" w:rsidRDefault="00D93AC3" w:rsidP="000B2651">
      <w:pPr>
        <w:jc w:val="both"/>
        <w:rPr>
          <w:sz w:val="28"/>
        </w:rPr>
      </w:pPr>
      <w:r>
        <w:rPr>
          <w:sz w:val="28"/>
        </w:rPr>
        <w:t>Quindi finlandesi e ucraini non appoggiarono i Bianchi nel momento decisivo. I contadini erano più solidali con i Bolscevichi che con i Bianchi. I Bianchi si dimostrarono incapaci di organizzare i territori e sfruttarli e di dirigerli regionalmente. Carenze politiche e militari si assommavano nella sconfitta definitiva.</w:t>
      </w:r>
    </w:p>
    <w:p w:rsidR="00D93AC3" w:rsidRDefault="003162BA" w:rsidP="000B2651">
      <w:pPr>
        <w:pStyle w:val="Titolo2"/>
        <w:jc w:val="both"/>
        <w:rPr>
          <w:sz w:val="28"/>
        </w:rPr>
      </w:pPr>
      <w:bookmarkStart w:id="46" w:name="_Toc493625471"/>
      <w:r w:rsidRPr="003162BA">
        <w:rPr>
          <w:sz w:val="28"/>
        </w:rPr>
        <w:t>Guerre civili e movimenti nazionali</w:t>
      </w:r>
      <w:bookmarkEnd w:id="46"/>
    </w:p>
    <w:p w:rsidR="003162BA" w:rsidRDefault="003162BA" w:rsidP="000B2651">
      <w:pPr>
        <w:jc w:val="both"/>
        <w:rPr>
          <w:sz w:val="28"/>
        </w:rPr>
      </w:pPr>
      <w:r>
        <w:rPr>
          <w:sz w:val="28"/>
        </w:rPr>
        <w:t>Dal diritto di autodeterminazione nazionale nacquero repubbliche su base regionale in tanti territori con prevalenza etnica non russa. Fra il Dicembre 1917 e novembre 1918 fioccarono le dichiarazioni di indipendenza dei paesi nelle periferie occidentali e meridionali (come la Bessarabia). La rivoluzione bolscevica si associava alla vittoria dei movimenti indipendentisti che disintegrarono gli Imperi Centrali, che controllavano veri e propri stati multi nazionali.</w:t>
      </w:r>
    </w:p>
    <w:p w:rsidR="00A7716A" w:rsidRDefault="003162BA" w:rsidP="000B2651">
      <w:pPr>
        <w:jc w:val="both"/>
        <w:rPr>
          <w:sz w:val="28"/>
        </w:rPr>
      </w:pPr>
      <w:r>
        <w:rPr>
          <w:sz w:val="28"/>
        </w:rPr>
        <w:t>Dal 1919-1921 vi fu un’inversione di rotta: i Bolscevichi accettarono solo l’indipendenza di Finlandia, Polonia e Paesi baltici ma rifiutarono l’indipendenza dell’</w:t>
      </w:r>
      <w:r w:rsidR="00A7716A">
        <w:rPr>
          <w:sz w:val="28"/>
        </w:rPr>
        <w:t>Ucraina e della Transcaucasia: erano considerate di importanza vitale sia per motivi economici che geopolitici.</w:t>
      </w:r>
    </w:p>
    <w:p w:rsidR="003162BA" w:rsidRDefault="00A7716A" w:rsidP="000B2651">
      <w:pPr>
        <w:jc w:val="both"/>
        <w:rPr>
          <w:sz w:val="28"/>
        </w:rPr>
      </w:pPr>
      <w:r w:rsidRPr="00A7716A">
        <w:rPr>
          <w:noProof/>
        </w:rPr>
        <w:t xml:space="preserve"> </w:t>
      </w:r>
      <w:r w:rsidR="00740CB0" w:rsidRPr="00740CB0">
        <w:t xml:space="preserve"> </w:t>
      </w:r>
    </w:p>
    <w:p w:rsidR="00A7716A" w:rsidRDefault="00A7716A" w:rsidP="000B2651">
      <w:pPr>
        <w:jc w:val="both"/>
        <w:rPr>
          <w:sz w:val="28"/>
        </w:rPr>
      </w:pPr>
      <w:r>
        <w:rPr>
          <w:sz w:val="28"/>
        </w:rPr>
        <w:t>La rivoluzione bolscevica divenne così anche lo scontro fra centro e periferie.</w:t>
      </w:r>
    </w:p>
    <w:p w:rsidR="000B2651" w:rsidRDefault="00A7716A" w:rsidP="000B2651">
      <w:pPr>
        <w:jc w:val="both"/>
        <w:rPr>
          <w:sz w:val="28"/>
        </w:rPr>
      </w:pPr>
      <w:r>
        <w:rPr>
          <w:sz w:val="28"/>
        </w:rPr>
        <w:t xml:space="preserve">Il 9 novembre 1917 l’Ucraina proclamò l’indipendenza. Qui si avvicendarono 11 regimi. Dopo aver formato la Repubblica Nazionale Ucraina, si affermarono i Soviet. Poi dopo Brest-Litovsk i tedeschi occuparono il paese e furono accolti da liberatori, </w:t>
      </w:r>
      <w:r>
        <w:rPr>
          <w:sz w:val="28"/>
        </w:rPr>
        <w:lastRenderedPageBreak/>
        <w:t>ma agirono spoliando ogni ricchezza. Il movimento anarchico di Machno si oppose. I contadini ucraini nella guerra civile si unirono ai rossi temendo lo sciovinismo russo dei bianchi. Poi combatterono il bolscevismo quando questi volevano ristabilire un’autorità centrale. I rossi ricorsero al terrore grazia all’appoggio degli operai e dell’esercito. Poi i bolscevichi si unirono ai socialisti rivoluzionari ucraini dopo la guerra civile.</w:t>
      </w:r>
    </w:p>
    <w:p w:rsidR="00A7716A" w:rsidRDefault="00A7716A" w:rsidP="000B2651">
      <w:pPr>
        <w:jc w:val="both"/>
        <w:rPr>
          <w:sz w:val="28"/>
        </w:rPr>
      </w:pPr>
      <w:r>
        <w:rPr>
          <w:sz w:val="28"/>
        </w:rPr>
        <w:t xml:space="preserve">La vicenda ucraina coinvolse anche i polacchi. La Polonia era diventata la potenza regionale di maggiore contrasto per il bolscevismo. La Polonia era diventata indipendente nel novembre 1918 dopo il collasso degli Imperi Centrali. </w:t>
      </w:r>
      <w:r w:rsidR="000B2651">
        <w:rPr>
          <w:sz w:val="28"/>
        </w:rPr>
        <w:t>La Polonia e</w:t>
      </w:r>
      <w:r>
        <w:rPr>
          <w:sz w:val="28"/>
        </w:rPr>
        <w:t>ra memore di essere stato una nazione egemone: molte elites polacche abitavano in Bielorussa, Ucraina e Lituania. La Polonia aveva grandi mire espansionistiche.</w:t>
      </w:r>
    </w:p>
    <w:p w:rsidR="000B2651" w:rsidRDefault="000B2651" w:rsidP="000B2651">
      <w:pPr>
        <w:jc w:val="both"/>
        <w:rPr>
          <w:sz w:val="28"/>
        </w:rPr>
      </w:pPr>
      <w:r>
        <w:rPr>
          <w:sz w:val="28"/>
        </w:rPr>
        <w:t>La Conferenza di Parigi, nella primavera del 1919 aveva lasciato insoddisfatti i polacchi, chiusi nella famosa linea Curzon</w:t>
      </w:r>
      <w:r w:rsidR="00740CB0">
        <w:rPr>
          <w:sz w:val="28"/>
        </w:rPr>
        <w:t>. La Polonia penetrò nella provincia lituana di Vilnius, nella zona bielorussa di Minsk e nella regione ucraina di Leopoli (Galizia ex austriaca). Nell’aprile 1920 Pilsudski attaccò la 3° Repubblica Sovietica Ucraina, e occupò Kiev per un mese.</w:t>
      </w:r>
    </w:p>
    <w:p w:rsidR="005B703E" w:rsidRDefault="005B703E" w:rsidP="000B2651">
      <w:pPr>
        <w:jc w:val="both"/>
        <w:rPr>
          <w:sz w:val="28"/>
        </w:rPr>
      </w:pPr>
      <w:r>
        <w:rPr>
          <w:sz w:val="28"/>
        </w:rPr>
        <w:t>Fu l’inizio della guerra russo-polacco. Fu un momento di ridefinizione dei confini e del consolidamento del bolscevismo. L’avanzata dei polacchi a Kiev rappresentò uno smacco per i nazionalisti russi. Molti ufficiali ex zaristi entrarono nell’Armata Rossa, carica di sentimento anti-polacco pur di conquistare l’Ucraina. I Bolscevichi capirono l’enorme importanza dello sciovinismo russo, altro elemento per mobilitare la patria. La guerra da difensiva passò a offensiva: era il manifesto dell’esportazione della rivoluzione in Europa centrale e di inviare un messaggio geopolitico alle potenze occidentali.</w:t>
      </w:r>
    </w:p>
    <w:p w:rsidR="005B703E" w:rsidRDefault="005B703E" w:rsidP="000B2651">
      <w:pPr>
        <w:jc w:val="both"/>
        <w:rPr>
          <w:sz w:val="28"/>
        </w:rPr>
      </w:pPr>
      <w:r>
        <w:rPr>
          <w:sz w:val="28"/>
        </w:rPr>
        <w:t>L’armata rossa marciò su Kiev, poi rinvigorita dalla RSU (Armata a cavallo) giunse alle porte di Varsavia. A questa campagna parteciparono famosi comandanti militari sovietici: Tukacevskij, Timoscenko, Zukov. Ma i Polacchi resistettero eroicamente e passò alla storia come il “Miracolo  della Vistola”</w:t>
      </w:r>
      <w:r>
        <w:rPr>
          <w:rStyle w:val="Rimandonotaapidipagina"/>
          <w:sz w:val="28"/>
        </w:rPr>
        <w:footnoteReference w:id="54"/>
      </w:r>
      <w:r>
        <w:rPr>
          <w:sz w:val="28"/>
        </w:rPr>
        <w:t xml:space="preserve">. L’Armata Rossa andò in rotta. Il </w:t>
      </w:r>
      <w:r>
        <w:rPr>
          <w:sz w:val="28"/>
        </w:rPr>
        <w:lastRenderedPageBreak/>
        <w:t>trattato di Riga del 1921 permetteva alla Polonia di annettere la Bielorussia e il governo sovietico fu riconosciuto dalle potenze vincitrici.</w:t>
      </w:r>
    </w:p>
    <w:p w:rsidR="005B703E" w:rsidRDefault="005B703E" w:rsidP="000B2651">
      <w:pPr>
        <w:jc w:val="both"/>
      </w:pPr>
      <w:r>
        <w:rPr>
          <w:noProof/>
        </w:rPr>
        <w:drawing>
          <wp:inline distT="0" distB="0" distL="0" distR="0">
            <wp:extent cx="1428087" cy="2048928"/>
            <wp:effectExtent l="19050" t="0" r="663" b="0"/>
            <wp:docPr id="134" name="Immagine 134" descr="М.Н. Тухачевски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М.Н. Тухачевский.jpg"/>
                    <pic:cNvPicPr>
                      <a:picLocks noChangeAspect="1" noChangeArrowheads="1"/>
                    </pic:cNvPicPr>
                  </pic:nvPicPr>
                  <pic:blipFill>
                    <a:blip r:embed="rId214" cstate="print"/>
                    <a:srcRect/>
                    <a:stretch>
                      <a:fillRect/>
                    </a:stretch>
                  </pic:blipFill>
                  <pic:spPr bwMode="auto">
                    <a:xfrm>
                      <a:off x="0" y="0"/>
                      <a:ext cx="1430565" cy="2052483"/>
                    </a:xfrm>
                    <a:prstGeom prst="rect">
                      <a:avLst/>
                    </a:prstGeom>
                    <a:noFill/>
                    <a:ln w="9525">
                      <a:noFill/>
                      <a:miter lim="800000"/>
                      <a:headEnd/>
                      <a:tailEnd/>
                    </a:ln>
                  </pic:spPr>
                </pic:pic>
              </a:graphicData>
            </a:graphic>
          </wp:inline>
        </w:drawing>
      </w:r>
      <w:r w:rsidR="00DF3EF7" w:rsidRPr="00DF3EF7">
        <w:t xml:space="preserve"> </w:t>
      </w:r>
      <w:r w:rsidR="00DF3EF7">
        <w:rPr>
          <w:noProof/>
        </w:rPr>
        <w:drawing>
          <wp:inline distT="0" distB="0" distL="0" distR="0">
            <wp:extent cx="1436039" cy="2046621"/>
            <wp:effectExtent l="19050" t="0" r="0" b="0"/>
            <wp:docPr id="137" name="Immagine 137" descr="Маршал Тимошенко 1940 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Маршал Тимошенко 1940 01.jpg"/>
                    <pic:cNvPicPr>
                      <a:picLocks noChangeAspect="1" noChangeArrowheads="1"/>
                    </pic:cNvPicPr>
                  </pic:nvPicPr>
                  <pic:blipFill>
                    <a:blip r:embed="rId215"/>
                    <a:srcRect/>
                    <a:stretch>
                      <a:fillRect/>
                    </a:stretch>
                  </pic:blipFill>
                  <pic:spPr bwMode="auto">
                    <a:xfrm>
                      <a:off x="0" y="0"/>
                      <a:ext cx="1440338" cy="2052748"/>
                    </a:xfrm>
                    <a:prstGeom prst="rect">
                      <a:avLst/>
                    </a:prstGeom>
                    <a:noFill/>
                    <a:ln w="9525">
                      <a:noFill/>
                      <a:miter lim="800000"/>
                      <a:headEnd/>
                      <a:tailEnd/>
                    </a:ln>
                  </pic:spPr>
                </pic:pic>
              </a:graphicData>
            </a:graphic>
          </wp:inline>
        </w:drawing>
      </w:r>
      <w:r w:rsidR="00DF3EF7" w:rsidRPr="00DF3EF7">
        <w:t xml:space="preserve"> </w:t>
      </w:r>
      <w:r w:rsidR="00DF3EF7">
        <w:rPr>
          <w:noProof/>
        </w:rPr>
        <w:drawing>
          <wp:inline distT="0" distB="0" distL="0" distR="0">
            <wp:extent cx="1348575" cy="2043485"/>
            <wp:effectExtent l="19050" t="0" r="3975" b="0"/>
            <wp:docPr id="140" name="Immagine 140" descr="Zhukov-LIFE-1944-19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Zhukov-LIFE-1944-1945.jpg"/>
                    <pic:cNvPicPr>
                      <a:picLocks noChangeAspect="1" noChangeArrowheads="1"/>
                    </pic:cNvPicPr>
                  </pic:nvPicPr>
                  <pic:blipFill>
                    <a:blip r:embed="rId216" cstate="print"/>
                    <a:srcRect/>
                    <a:stretch>
                      <a:fillRect/>
                    </a:stretch>
                  </pic:blipFill>
                  <pic:spPr bwMode="auto">
                    <a:xfrm>
                      <a:off x="0" y="0"/>
                      <a:ext cx="1353138" cy="2050399"/>
                    </a:xfrm>
                    <a:prstGeom prst="rect">
                      <a:avLst/>
                    </a:prstGeom>
                    <a:noFill/>
                    <a:ln w="9525">
                      <a:noFill/>
                      <a:miter lim="800000"/>
                      <a:headEnd/>
                      <a:tailEnd/>
                    </a:ln>
                  </pic:spPr>
                </pic:pic>
              </a:graphicData>
            </a:graphic>
          </wp:inline>
        </w:drawing>
      </w:r>
      <w:r w:rsidR="00DF3EF7" w:rsidRPr="00DF3EF7">
        <w:t xml:space="preserve"> </w:t>
      </w:r>
      <w:r w:rsidR="00DF3EF7">
        <w:rPr>
          <w:noProof/>
        </w:rPr>
        <w:drawing>
          <wp:inline distT="0" distB="0" distL="0" distR="0">
            <wp:extent cx="1308818" cy="2051437"/>
            <wp:effectExtent l="19050" t="0" r="5632" b="0"/>
            <wp:docPr id="143" name="Immagine 143" descr="https://upload.wikimedia.org/wikipedia/commons/c/c5/Grigol_Ordzhonikidze_at_the_10th_Party_Congress_%283%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s://upload.wikimedia.org/wikipedia/commons/c/c5/Grigol_Ordzhonikidze_at_the_10th_Party_Congress_%283%29.jpg"/>
                    <pic:cNvPicPr>
                      <a:picLocks noChangeAspect="1" noChangeArrowheads="1"/>
                    </pic:cNvPicPr>
                  </pic:nvPicPr>
                  <pic:blipFill>
                    <a:blip r:embed="rId217"/>
                    <a:srcRect/>
                    <a:stretch>
                      <a:fillRect/>
                    </a:stretch>
                  </pic:blipFill>
                  <pic:spPr bwMode="auto">
                    <a:xfrm>
                      <a:off x="0" y="0"/>
                      <a:ext cx="1310330" cy="2053807"/>
                    </a:xfrm>
                    <a:prstGeom prst="rect">
                      <a:avLst/>
                    </a:prstGeom>
                    <a:noFill/>
                    <a:ln w="9525">
                      <a:noFill/>
                      <a:miter lim="800000"/>
                      <a:headEnd/>
                      <a:tailEnd/>
                    </a:ln>
                  </pic:spPr>
                </pic:pic>
              </a:graphicData>
            </a:graphic>
          </wp:inline>
        </w:drawing>
      </w:r>
    </w:p>
    <w:p w:rsidR="00DF3EF7" w:rsidRDefault="00DF3EF7" w:rsidP="000B2651">
      <w:pPr>
        <w:jc w:val="both"/>
        <w:rPr>
          <w:sz w:val="28"/>
        </w:rPr>
      </w:pPr>
      <w:r>
        <w:rPr>
          <w:sz w:val="28"/>
        </w:rPr>
        <w:t>Nel Febbraio del 1917 il Caucaso si era dichiarato Repubblica Federativa Transcaucasica (fedele al Governo Provvisorio). Dopo la Rivoluzione di Ottobre seguì la contesa sovietica, turca, inglese. Georgia, Armenia e Azerbaigian si dichiararono nel 1918 indipendenti. Gli inglesi abbandonarono l’area nel 1919. I Sovietici contesero ai turchi l’area: ad avere la meglio fu la Russia. La conquista fu effettuata entro il 1921. I Russi sfruttarono il risentimento degli Armeni molto ostili ai Turchi dato il genocidio perpetrato dalla Turchia. La Georgia aveva un governo democratico e riconosciuto a livello internazionale ed era retto da menscevichi e nazionalisti ma fu invasa agli inizi del 1921 su richiesta di Stalin e Orzonikidze</w:t>
      </w:r>
      <w:r w:rsidR="003A5565">
        <w:rPr>
          <w:sz w:val="28"/>
        </w:rPr>
        <w:t>. La Pace di Kars nel marzo 1921 fra Turchia e Russia sancì:</w:t>
      </w:r>
    </w:p>
    <w:p w:rsidR="003A5565" w:rsidRDefault="003A5565" w:rsidP="00CB56C2">
      <w:pPr>
        <w:pStyle w:val="Paragrafoelenco"/>
        <w:numPr>
          <w:ilvl w:val="0"/>
          <w:numId w:val="59"/>
        </w:numPr>
        <w:jc w:val="both"/>
        <w:rPr>
          <w:sz w:val="28"/>
        </w:rPr>
      </w:pPr>
      <w:r>
        <w:rPr>
          <w:sz w:val="28"/>
        </w:rPr>
        <w:t>Il dominio sovietico sulla Transcaucasia</w:t>
      </w:r>
    </w:p>
    <w:p w:rsidR="003A5565" w:rsidRDefault="003A5565" w:rsidP="00CB56C2">
      <w:pPr>
        <w:pStyle w:val="Paragrafoelenco"/>
        <w:numPr>
          <w:ilvl w:val="0"/>
          <w:numId w:val="59"/>
        </w:numPr>
        <w:jc w:val="both"/>
        <w:rPr>
          <w:sz w:val="28"/>
        </w:rPr>
      </w:pPr>
      <w:r>
        <w:rPr>
          <w:sz w:val="28"/>
        </w:rPr>
        <w:t>Turchia ottenne la regione di Kars (rivendicata dagli armeni)</w:t>
      </w:r>
    </w:p>
    <w:p w:rsidR="003A5565" w:rsidRDefault="003A5565" w:rsidP="003A5565">
      <w:pPr>
        <w:jc w:val="both"/>
        <w:rPr>
          <w:sz w:val="28"/>
        </w:rPr>
      </w:pPr>
      <w:r>
        <w:rPr>
          <w:sz w:val="28"/>
        </w:rPr>
        <w:t>La politica sovietica reprimeva da un lato i moti nazionalisti delle periferie e confiscava beni e derrate, dall’altro proiettava la spinta rivoluzionaria in Oriente.</w:t>
      </w:r>
    </w:p>
    <w:p w:rsidR="003A5565" w:rsidRPr="003A5565" w:rsidRDefault="003A5565" w:rsidP="003A5565">
      <w:pPr>
        <w:jc w:val="both"/>
        <w:rPr>
          <w:sz w:val="28"/>
        </w:rPr>
      </w:pPr>
      <w:r>
        <w:rPr>
          <w:sz w:val="28"/>
        </w:rPr>
        <w:t>Nel Congresso dei popoli dell’Est a Baku, i bolscevichi denunciarono l’imperialismo britannico in nome dell’autodeterminazione dei popoli d’Asia, chiamati alla rivoluzione.</w:t>
      </w:r>
      <w:r w:rsidR="002E37B6">
        <w:rPr>
          <w:sz w:val="28"/>
        </w:rPr>
        <w:t xml:space="preserve"> Ma si incominciò a diffondere l’idea ce il regime bolscevico dovesse rispettare le tradizioni islamiche, per questo nel 1920-21 ci fu il ripristino della legge coranica per i fedeli (era stata abolita nel 1918).</w:t>
      </w:r>
    </w:p>
    <w:p w:rsidR="003A5565" w:rsidRPr="00DF3EF7" w:rsidRDefault="003A5565" w:rsidP="000B2651">
      <w:pPr>
        <w:jc w:val="both"/>
        <w:rPr>
          <w:sz w:val="28"/>
        </w:rPr>
      </w:pPr>
      <w:r>
        <w:rPr>
          <w:noProof/>
        </w:rPr>
        <w:lastRenderedPageBreak/>
        <w:drawing>
          <wp:inline distT="0" distB="0" distL="0" distR="0">
            <wp:extent cx="5973288" cy="4076292"/>
            <wp:effectExtent l="0" t="0" r="8412" b="0"/>
            <wp:docPr id="146" name="Immagine 146" descr="File:Tratado de Kars 1921 - Territorios disputad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File:Tratado de Kars 1921 - Territorios disputados.png"/>
                    <pic:cNvPicPr>
                      <a:picLocks noChangeAspect="1" noChangeArrowheads="1"/>
                    </pic:cNvPicPr>
                  </pic:nvPicPr>
                  <pic:blipFill>
                    <a:blip r:embed="rId218"/>
                    <a:srcRect/>
                    <a:stretch>
                      <a:fillRect/>
                    </a:stretch>
                  </pic:blipFill>
                  <pic:spPr bwMode="auto">
                    <a:xfrm>
                      <a:off x="0" y="0"/>
                      <a:ext cx="5994883" cy="4091029"/>
                    </a:xfrm>
                    <a:prstGeom prst="rect">
                      <a:avLst/>
                    </a:prstGeom>
                    <a:noFill/>
                    <a:ln w="9525">
                      <a:noFill/>
                      <a:miter lim="800000"/>
                      <a:headEnd/>
                      <a:tailEnd/>
                    </a:ln>
                  </pic:spPr>
                </pic:pic>
              </a:graphicData>
            </a:graphic>
          </wp:inline>
        </w:drawing>
      </w:r>
    </w:p>
    <w:p w:rsidR="002E37B6" w:rsidRDefault="002E37B6" w:rsidP="000B2651">
      <w:pPr>
        <w:jc w:val="both"/>
      </w:pPr>
      <w:r>
        <w:rPr>
          <w:noProof/>
        </w:rPr>
        <w:drawing>
          <wp:inline distT="0" distB="0" distL="0" distR="0">
            <wp:extent cx="3436669" cy="2459503"/>
            <wp:effectExtent l="19050" t="0" r="0" b="0"/>
            <wp:docPr id="40" name="Immagine 116" descr="Risultati immagini per Transcaucas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Risultati immagini per Transcaucasia"/>
                    <pic:cNvPicPr>
                      <a:picLocks noChangeAspect="1" noChangeArrowheads="1"/>
                    </pic:cNvPicPr>
                  </pic:nvPicPr>
                  <pic:blipFill>
                    <a:blip r:embed="rId219"/>
                    <a:srcRect/>
                    <a:stretch>
                      <a:fillRect/>
                    </a:stretch>
                  </pic:blipFill>
                  <pic:spPr bwMode="auto">
                    <a:xfrm>
                      <a:off x="0" y="0"/>
                      <a:ext cx="3443034" cy="2464058"/>
                    </a:xfrm>
                    <a:prstGeom prst="rect">
                      <a:avLst/>
                    </a:prstGeom>
                    <a:noFill/>
                    <a:ln w="9525">
                      <a:noFill/>
                      <a:miter lim="800000"/>
                      <a:headEnd/>
                      <a:tailEnd/>
                    </a:ln>
                  </pic:spPr>
                </pic:pic>
              </a:graphicData>
            </a:graphic>
          </wp:inline>
        </w:drawing>
      </w:r>
      <w:r>
        <w:rPr>
          <w:noProof/>
        </w:rPr>
        <w:drawing>
          <wp:inline distT="0" distB="0" distL="0" distR="0">
            <wp:extent cx="2141961" cy="2398815"/>
            <wp:effectExtent l="19050" t="0" r="0" b="0"/>
            <wp:docPr id="42" name="Immagine 131" descr="File:Pilsudski 1910 1920 LOC hec 14263 restor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descr="File:Pilsudski 1910 1920 LOC hec 14263 restored.jpg"/>
                    <pic:cNvPicPr>
                      <a:picLocks noChangeAspect="1" noChangeArrowheads="1"/>
                    </pic:cNvPicPr>
                  </pic:nvPicPr>
                  <pic:blipFill>
                    <a:blip r:embed="rId220"/>
                    <a:srcRect/>
                    <a:stretch>
                      <a:fillRect/>
                    </a:stretch>
                  </pic:blipFill>
                  <pic:spPr bwMode="auto">
                    <a:xfrm>
                      <a:off x="0" y="0"/>
                      <a:ext cx="2147717" cy="2405262"/>
                    </a:xfrm>
                    <a:prstGeom prst="rect">
                      <a:avLst/>
                    </a:prstGeom>
                    <a:noFill/>
                    <a:ln w="9525">
                      <a:noFill/>
                      <a:miter lim="800000"/>
                      <a:headEnd/>
                      <a:tailEnd/>
                    </a:ln>
                  </pic:spPr>
                </pic:pic>
              </a:graphicData>
            </a:graphic>
          </wp:inline>
        </w:drawing>
      </w:r>
    </w:p>
    <w:p w:rsidR="003162BA" w:rsidRPr="00740CB0" w:rsidRDefault="000B2651" w:rsidP="000B2651">
      <w:pPr>
        <w:jc w:val="both"/>
        <w:rPr>
          <w:noProof/>
        </w:rPr>
      </w:pPr>
      <w:r>
        <w:rPr>
          <w:noProof/>
        </w:rPr>
        <w:lastRenderedPageBreak/>
        <w:drawing>
          <wp:inline distT="0" distB="0" distL="0" distR="0">
            <wp:extent cx="6106601" cy="5562506"/>
            <wp:effectExtent l="0" t="0" r="0" b="0"/>
            <wp:docPr id="33" name="Immagine 122" descr="https://upload.wikimedia.org/wikipedia/commons/thumb/8/8d/Curzon_line_en.svg/563px-Curzon_line_en.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upload.wikimedia.org/wikipedia/commons/thumb/8/8d/Curzon_line_en.svg/563px-Curzon_line_en.svg.png"/>
                    <pic:cNvPicPr>
                      <a:picLocks noChangeAspect="1" noChangeArrowheads="1"/>
                    </pic:cNvPicPr>
                  </pic:nvPicPr>
                  <pic:blipFill>
                    <a:blip r:embed="rId221"/>
                    <a:srcRect/>
                    <a:stretch>
                      <a:fillRect/>
                    </a:stretch>
                  </pic:blipFill>
                  <pic:spPr bwMode="auto">
                    <a:xfrm>
                      <a:off x="0" y="0"/>
                      <a:ext cx="6106853" cy="5562735"/>
                    </a:xfrm>
                    <a:prstGeom prst="rect">
                      <a:avLst/>
                    </a:prstGeom>
                    <a:noFill/>
                    <a:ln w="9525">
                      <a:noFill/>
                      <a:miter lim="800000"/>
                      <a:headEnd/>
                      <a:tailEnd/>
                    </a:ln>
                  </pic:spPr>
                </pic:pic>
              </a:graphicData>
            </a:graphic>
          </wp:inline>
        </w:drawing>
      </w:r>
      <w:r w:rsidR="00740CB0" w:rsidRPr="00740CB0">
        <w:t xml:space="preserve"> </w:t>
      </w:r>
      <w:r w:rsidR="00740CB0">
        <w:rPr>
          <w:noProof/>
        </w:rPr>
        <w:lastRenderedPageBreak/>
        <w:drawing>
          <wp:inline distT="0" distB="0" distL="0" distR="0">
            <wp:extent cx="7450455" cy="5716905"/>
            <wp:effectExtent l="19050" t="0" r="0" b="0"/>
            <wp:docPr id="125" name="Immagine 125" descr="File:PBW March 19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File:PBW March 1919.png"/>
                    <pic:cNvPicPr>
                      <a:picLocks noChangeAspect="1" noChangeArrowheads="1"/>
                    </pic:cNvPicPr>
                  </pic:nvPicPr>
                  <pic:blipFill>
                    <a:blip r:embed="rId222"/>
                    <a:srcRect/>
                    <a:stretch>
                      <a:fillRect/>
                    </a:stretch>
                  </pic:blipFill>
                  <pic:spPr bwMode="auto">
                    <a:xfrm>
                      <a:off x="0" y="0"/>
                      <a:ext cx="7450455" cy="5716905"/>
                    </a:xfrm>
                    <a:prstGeom prst="rect">
                      <a:avLst/>
                    </a:prstGeom>
                    <a:noFill/>
                    <a:ln w="9525">
                      <a:noFill/>
                      <a:miter lim="800000"/>
                      <a:headEnd/>
                      <a:tailEnd/>
                    </a:ln>
                  </pic:spPr>
                </pic:pic>
              </a:graphicData>
            </a:graphic>
          </wp:inline>
        </w:drawing>
      </w:r>
      <w:r w:rsidR="00740CB0">
        <w:rPr>
          <w:rStyle w:val="Rimandonotaapidipagina"/>
        </w:rPr>
        <w:footnoteReference w:id="55"/>
      </w:r>
      <w:r w:rsidR="00740CB0">
        <w:rPr>
          <w:noProof/>
        </w:rPr>
        <w:t xml:space="preserve">  </w:t>
      </w:r>
      <w:r>
        <w:rPr>
          <w:noProof/>
        </w:rPr>
        <w:lastRenderedPageBreak/>
        <w:drawing>
          <wp:inline distT="0" distB="0" distL="0" distR="0">
            <wp:extent cx="6120130" cy="4701827"/>
            <wp:effectExtent l="19050" t="0" r="0" b="0"/>
            <wp:docPr id="119" name="Immagine 119" descr="https://upload.wikimedia.org/wikipedia/commons/thumb/3/36/Rzeczpospolita_1922.png/800px-Rzeczpospolita_19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descr="https://upload.wikimedia.org/wikipedia/commons/thumb/3/36/Rzeczpospolita_1922.png/800px-Rzeczpospolita_1922.png"/>
                    <pic:cNvPicPr>
                      <a:picLocks noChangeAspect="1" noChangeArrowheads="1"/>
                    </pic:cNvPicPr>
                  </pic:nvPicPr>
                  <pic:blipFill>
                    <a:blip r:embed="rId223"/>
                    <a:srcRect/>
                    <a:stretch>
                      <a:fillRect/>
                    </a:stretch>
                  </pic:blipFill>
                  <pic:spPr bwMode="auto">
                    <a:xfrm>
                      <a:off x="0" y="0"/>
                      <a:ext cx="6120130" cy="4701827"/>
                    </a:xfrm>
                    <a:prstGeom prst="rect">
                      <a:avLst/>
                    </a:prstGeom>
                    <a:noFill/>
                    <a:ln w="9525">
                      <a:noFill/>
                      <a:miter lim="800000"/>
                      <a:headEnd/>
                      <a:tailEnd/>
                    </a:ln>
                  </pic:spPr>
                </pic:pic>
              </a:graphicData>
            </a:graphic>
          </wp:inline>
        </w:drawing>
      </w:r>
    </w:p>
    <w:p w:rsidR="003162BA" w:rsidRPr="003162BA" w:rsidRDefault="003162BA" w:rsidP="000B2651">
      <w:pPr>
        <w:jc w:val="both"/>
      </w:pPr>
    </w:p>
    <w:p w:rsidR="005A2141" w:rsidRPr="005014D7" w:rsidRDefault="005A2141" w:rsidP="000B2651">
      <w:pPr>
        <w:jc w:val="both"/>
        <w:rPr>
          <w:sz w:val="28"/>
        </w:rPr>
      </w:pPr>
    </w:p>
    <w:sectPr w:rsidR="005A2141" w:rsidRPr="005014D7" w:rsidSect="00E650B5">
      <w:headerReference w:type="even" r:id="rId224"/>
      <w:headerReference w:type="default" r:id="rId225"/>
      <w:footerReference w:type="even" r:id="rId226"/>
      <w:footerReference w:type="default" r:id="rId227"/>
      <w:headerReference w:type="first" r:id="rId228"/>
      <w:footerReference w:type="first" r:id="rId229"/>
      <w:pgSz w:w="11906" w:h="16838"/>
      <w:pgMar w:top="1417" w:right="1134" w:bottom="1134" w:left="1134"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56C2" w:rsidRDefault="00CB56C2" w:rsidP="00F65281">
      <w:pPr>
        <w:spacing w:after="0" w:line="240" w:lineRule="auto"/>
      </w:pPr>
      <w:r>
        <w:separator/>
      </w:r>
    </w:p>
  </w:endnote>
  <w:endnote w:type="continuationSeparator" w:id="1">
    <w:p w:rsidR="00CB56C2" w:rsidRDefault="00CB56C2" w:rsidP="00F6528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DC4" w:rsidRDefault="00250DC4">
    <w:pPr>
      <w:pStyle w:val="Pidipagin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id w:val="294960773"/>
      <w:docPartObj>
        <w:docPartGallery w:val="Page Numbers (Bottom of Page)"/>
        <w:docPartUnique/>
      </w:docPartObj>
    </w:sdtPr>
    <w:sdtContent>
      <w:sdt>
        <w:sdtPr>
          <w:rPr>
            <w:rFonts w:asciiTheme="majorHAnsi" w:eastAsiaTheme="majorEastAsia" w:hAnsiTheme="majorHAnsi" w:cstheme="majorBidi"/>
          </w:rPr>
          <w:id w:val="104734790"/>
          <w:docPartObj>
            <w:docPartGallery w:val="Page Numbers (Margins)"/>
            <w:docPartUnique/>
          </w:docPartObj>
        </w:sdtPr>
        <w:sdtContent>
          <w:p w:rsidR="000B2651" w:rsidRDefault="000B2651">
            <w:pPr>
              <w:rPr>
                <w:rFonts w:asciiTheme="majorHAnsi" w:eastAsiaTheme="majorEastAsia" w:hAnsiTheme="majorHAnsi" w:cstheme="majorBidi"/>
              </w:rPr>
            </w:pPr>
            <w:r>
              <w:rPr>
                <w:rFonts w:asciiTheme="majorHAnsi" w:eastAsiaTheme="majorEastAsia" w:hAnsiTheme="majorHAnsi" w:cstheme="majorBidi"/>
                <w:noProof/>
                <w:lang w:eastAsia="zh-TW"/>
              </w:rPr>
              <w:pict>
                <v:oval id="_x0000_s2049" style="position:absolute;margin-left:0;margin-top:0;width:49.35pt;height:49.35pt;z-index:251660288;mso-position-horizontal:center;mso-position-horizontal-relative:margin;mso-position-vertical:center;mso-position-vertical-relative:bottom-margin-area;v-text-anchor:middle" fillcolor="#365f91 [2404]" stroked="f">
                  <v:textbox style="mso-next-textbox:#_x0000_s2049">
                    <w:txbxContent>
                      <w:p w:rsidR="000B2651" w:rsidRDefault="000B2651">
                        <w:pPr>
                          <w:pStyle w:val="Pidipagina"/>
                          <w:jc w:val="center"/>
                          <w:rPr>
                            <w:b/>
                            <w:color w:val="FFFFFF" w:themeColor="background1"/>
                            <w:sz w:val="32"/>
                            <w:szCs w:val="32"/>
                          </w:rPr>
                        </w:pPr>
                        <w:fldSimple w:instr=" PAGE    \* MERGEFORMAT ">
                          <w:r w:rsidR="00250DC4" w:rsidRPr="00250DC4">
                            <w:rPr>
                              <w:b/>
                              <w:noProof/>
                              <w:color w:val="FFFFFF" w:themeColor="background1"/>
                              <w:sz w:val="32"/>
                              <w:szCs w:val="32"/>
                            </w:rPr>
                            <w:t>4</w:t>
                          </w:r>
                        </w:fldSimple>
                      </w:p>
                    </w:txbxContent>
                  </v:textbox>
                  <w10:wrap anchorx="margin" anchory="page"/>
                </v:oval>
              </w:pict>
            </w:r>
          </w:p>
        </w:sdtContent>
      </w:sdt>
    </w:sdtContent>
  </w:sdt>
  <w:p w:rsidR="000B2651" w:rsidRDefault="000B2651">
    <w:pPr>
      <w:pStyle w:val="Pidipagin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DC4" w:rsidRDefault="00250DC4">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56C2" w:rsidRDefault="00CB56C2" w:rsidP="00F65281">
      <w:pPr>
        <w:spacing w:after="0" w:line="240" w:lineRule="auto"/>
      </w:pPr>
      <w:r>
        <w:separator/>
      </w:r>
    </w:p>
  </w:footnote>
  <w:footnote w:type="continuationSeparator" w:id="1">
    <w:p w:rsidR="00CB56C2" w:rsidRDefault="00CB56C2" w:rsidP="00F65281">
      <w:pPr>
        <w:spacing w:after="0" w:line="240" w:lineRule="auto"/>
      </w:pPr>
      <w:r>
        <w:continuationSeparator/>
      </w:r>
    </w:p>
  </w:footnote>
  <w:footnote w:id="2">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Style w:val="Rimandonotaapidipagina"/>
        </w:rPr>
        <w:footnoteRef/>
      </w:r>
      <w:r w:rsidRPr="00112CFF">
        <w:t xml:space="preserve"> </w:t>
      </w:r>
      <w:r w:rsidRPr="00112CFF">
        <w:rPr>
          <w:rFonts w:asciiTheme="minorHAnsi" w:hAnsiTheme="minorHAnsi" w:cstheme="minorHAnsi"/>
          <w:b/>
          <w:bCs/>
          <w:color w:val="000000" w:themeColor="text1"/>
        </w:rPr>
        <w:t>Alessandro II Romanov</w:t>
      </w:r>
      <w:r w:rsidRPr="00112CFF">
        <w:rPr>
          <w:rFonts w:asciiTheme="minorHAnsi" w:hAnsiTheme="minorHAnsi" w:cstheme="minorHAnsi"/>
          <w:color w:val="000000" w:themeColor="text1"/>
        </w:rPr>
        <w:t> (in </w:t>
      </w:r>
      <w:hyperlink r:id="rId1" w:tooltip="Lingua russa" w:history="1">
        <w:r w:rsidRPr="00112CFF">
          <w:rPr>
            <w:rStyle w:val="Collegamentoipertestuale"/>
            <w:rFonts w:asciiTheme="minorHAnsi" w:hAnsiTheme="minorHAnsi" w:cstheme="minorHAnsi"/>
            <w:color w:val="000000" w:themeColor="text1"/>
            <w:u w:val="none"/>
          </w:rPr>
          <w:t>russo</w:t>
        </w:r>
      </w:hyperlink>
      <w:r w:rsidRPr="00112CFF">
        <w:rPr>
          <w:rFonts w:asciiTheme="minorHAnsi" w:hAnsiTheme="minorHAnsi" w:cstheme="minorHAnsi"/>
          <w:color w:val="000000" w:themeColor="text1"/>
        </w:rPr>
        <w:t>: </w:t>
      </w:r>
      <w:r w:rsidRPr="00112CFF">
        <w:rPr>
          <w:rFonts w:asciiTheme="minorHAnsi" w:hAnsiTheme="minorHAnsi" w:cstheme="minorHAnsi"/>
          <w:color w:val="000000" w:themeColor="text1"/>
          <w:lang w:val="ru-RU"/>
        </w:rPr>
        <w:t>Александр II Николаевич Романов</w:t>
      </w:r>
      <w:hyperlink r:id="rId2" w:anchor="Sistema_di_scrittura" w:tooltip="Lingua russa" w:history="1">
        <w:r w:rsidRPr="00112CFF">
          <w:rPr>
            <w:rStyle w:val="Collegamentoipertestuale"/>
            <w:rFonts w:asciiTheme="minorHAnsi" w:hAnsiTheme="minorHAnsi" w:cstheme="minorHAnsi"/>
            <w:b/>
            <w:bCs/>
            <w:color w:val="000000" w:themeColor="text1"/>
            <w:u w:val="none"/>
            <w:vertAlign w:val="superscript"/>
          </w:rPr>
          <w:t>?</w:t>
        </w:r>
      </w:hyperlink>
      <w:r w:rsidRPr="00112CFF">
        <w:rPr>
          <w:rFonts w:asciiTheme="minorHAnsi" w:hAnsiTheme="minorHAnsi" w:cstheme="minorHAnsi"/>
          <w:color w:val="000000" w:themeColor="text1"/>
        </w:rPr>
        <w:t>, </w:t>
      </w:r>
      <w:r w:rsidRPr="00112CFF">
        <w:rPr>
          <w:rFonts w:asciiTheme="minorHAnsi" w:hAnsiTheme="minorHAnsi" w:cstheme="minorHAnsi"/>
          <w:i/>
          <w:iCs/>
          <w:color w:val="000000" w:themeColor="text1"/>
        </w:rPr>
        <w:t>Aleksandr II Nikolaevič Romanov</w:t>
      </w:r>
      <w:r w:rsidRPr="00112CFF">
        <w:rPr>
          <w:rFonts w:asciiTheme="minorHAnsi" w:hAnsiTheme="minorHAnsi" w:cstheme="minorHAnsi"/>
          <w:color w:val="000000" w:themeColor="text1"/>
        </w:rPr>
        <w:t>; </w:t>
      </w:r>
      <w:hyperlink r:id="rId3" w:tooltip="Mosca (Russia)" w:history="1">
        <w:r w:rsidRPr="00112CFF">
          <w:rPr>
            <w:rStyle w:val="Collegamentoipertestuale"/>
            <w:rFonts w:asciiTheme="minorHAnsi" w:hAnsiTheme="minorHAnsi" w:cstheme="minorHAnsi"/>
            <w:color w:val="000000" w:themeColor="text1"/>
            <w:u w:val="none"/>
          </w:rPr>
          <w:t>Mosca</w:t>
        </w:r>
      </w:hyperlink>
      <w:r w:rsidRPr="00112CFF">
        <w:rPr>
          <w:rFonts w:asciiTheme="minorHAnsi" w:hAnsiTheme="minorHAnsi" w:cstheme="minorHAnsi"/>
          <w:color w:val="000000" w:themeColor="text1"/>
        </w:rPr>
        <w:t>, </w:t>
      </w:r>
      <w:hyperlink r:id="rId4" w:tooltip="29 aprile" w:history="1">
        <w:r w:rsidRPr="00112CFF">
          <w:rPr>
            <w:rStyle w:val="Collegamentoipertestuale"/>
            <w:rFonts w:asciiTheme="minorHAnsi" w:hAnsiTheme="minorHAnsi" w:cstheme="minorHAnsi"/>
            <w:color w:val="000000" w:themeColor="text1"/>
            <w:u w:val="none"/>
          </w:rPr>
          <w:t>29 aprile</w:t>
        </w:r>
      </w:hyperlink>
      <w:r w:rsidRPr="00112CFF">
        <w:rPr>
          <w:rFonts w:asciiTheme="minorHAnsi" w:hAnsiTheme="minorHAnsi" w:cstheme="minorHAnsi"/>
          <w:color w:val="000000" w:themeColor="text1"/>
        </w:rPr>
        <w:t> </w:t>
      </w:r>
      <w:hyperlink r:id="rId5" w:tooltip="1818" w:history="1">
        <w:r w:rsidRPr="00112CFF">
          <w:rPr>
            <w:rStyle w:val="Collegamentoipertestuale"/>
            <w:rFonts w:asciiTheme="minorHAnsi" w:hAnsiTheme="minorHAnsi" w:cstheme="minorHAnsi"/>
            <w:color w:val="000000" w:themeColor="text1"/>
            <w:u w:val="none"/>
          </w:rPr>
          <w:t>1818</w:t>
        </w:r>
      </w:hyperlink>
      <w:r w:rsidRPr="00112CFF">
        <w:rPr>
          <w:rFonts w:asciiTheme="minorHAnsi" w:hAnsiTheme="minorHAnsi" w:cstheme="minorHAnsi"/>
          <w:color w:val="000000" w:themeColor="text1"/>
        </w:rPr>
        <w:t> – </w:t>
      </w:r>
      <w:hyperlink r:id="rId6" w:tooltip="San Pietroburgo" w:history="1">
        <w:r w:rsidRPr="00112CFF">
          <w:rPr>
            <w:rStyle w:val="Collegamentoipertestuale"/>
            <w:rFonts w:asciiTheme="minorHAnsi" w:hAnsiTheme="minorHAnsi" w:cstheme="minorHAnsi"/>
            <w:color w:val="000000" w:themeColor="text1"/>
            <w:u w:val="none"/>
          </w:rPr>
          <w:t>San Pietroburgo</w:t>
        </w:r>
      </w:hyperlink>
      <w:r w:rsidRPr="00112CFF">
        <w:rPr>
          <w:rFonts w:asciiTheme="minorHAnsi" w:hAnsiTheme="minorHAnsi" w:cstheme="minorHAnsi"/>
          <w:color w:val="000000" w:themeColor="text1"/>
        </w:rPr>
        <w:t>, </w:t>
      </w:r>
      <w:hyperlink r:id="rId7" w:tooltip="13 marzo" w:history="1">
        <w:r w:rsidRPr="00112CFF">
          <w:rPr>
            <w:rStyle w:val="Collegamentoipertestuale"/>
            <w:rFonts w:asciiTheme="minorHAnsi" w:hAnsiTheme="minorHAnsi" w:cstheme="minorHAnsi"/>
            <w:color w:val="000000" w:themeColor="text1"/>
            <w:u w:val="none"/>
          </w:rPr>
          <w:t>13 marzo</w:t>
        </w:r>
      </w:hyperlink>
      <w:r w:rsidRPr="00112CFF">
        <w:rPr>
          <w:rFonts w:asciiTheme="minorHAnsi" w:hAnsiTheme="minorHAnsi" w:cstheme="minorHAnsi"/>
          <w:color w:val="000000" w:themeColor="text1"/>
        </w:rPr>
        <w:t> </w:t>
      </w:r>
      <w:hyperlink r:id="rId8" w:tooltip="1881" w:history="1">
        <w:r w:rsidRPr="00112CFF">
          <w:rPr>
            <w:rStyle w:val="Collegamentoipertestuale"/>
            <w:rFonts w:asciiTheme="minorHAnsi" w:hAnsiTheme="minorHAnsi" w:cstheme="minorHAnsi"/>
            <w:color w:val="000000" w:themeColor="text1"/>
            <w:u w:val="none"/>
          </w:rPr>
          <w:t>1881</w:t>
        </w:r>
      </w:hyperlink>
      <w:r w:rsidRPr="00112CFF">
        <w:rPr>
          <w:rFonts w:asciiTheme="minorHAnsi" w:hAnsiTheme="minorHAnsi" w:cstheme="minorHAnsi"/>
          <w:color w:val="000000" w:themeColor="text1"/>
        </w:rPr>
        <w:t>) è stato </w:t>
      </w:r>
      <w:hyperlink r:id="rId9" w:tooltip="Imperatore di Russia" w:history="1">
        <w:r w:rsidRPr="00112CFF">
          <w:rPr>
            <w:rStyle w:val="Collegamentoipertestuale"/>
            <w:rFonts w:asciiTheme="minorHAnsi" w:hAnsiTheme="minorHAnsi" w:cstheme="minorHAnsi"/>
            <w:color w:val="000000" w:themeColor="text1"/>
            <w:u w:val="none"/>
          </w:rPr>
          <w:t>imperatore di Russia</w:t>
        </w:r>
      </w:hyperlink>
      <w:r w:rsidRPr="00112CFF">
        <w:rPr>
          <w:rFonts w:asciiTheme="minorHAnsi" w:hAnsiTheme="minorHAnsi" w:cstheme="minorHAnsi"/>
          <w:color w:val="000000" w:themeColor="text1"/>
        </w:rPr>
        <w:t> e </w:t>
      </w:r>
      <w:hyperlink r:id="rId10" w:tooltip="Duca di Finlandia" w:history="1">
        <w:r w:rsidRPr="00112CFF">
          <w:rPr>
            <w:rStyle w:val="Collegamentoipertestuale"/>
            <w:rFonts w:asciiTheme="minorHAnsi" w:hAnsiTheme="minorHAnsi" w:cstheme="minorHAnsi"/>
            <w:color w:val="000000" w:themeColor="text1"/>
            <w:u w:val="none"/>
          </w:rPr>
          <w:t>duca di Finlandia</w:t>
        </w:r>
      </w:hyperlink>
      <w:r w:rsidRPr="00112CFF">
        <w:rPr>
          <w:rFonts w:asciiTheme="minorHAnsi" w:hAnsiTheme="minorHAnsi" w:cstheme="minorHAnsi"/>
          <w:color w:val="000000" w:themeColor="text1"/>
        </w:rPr>
        <w:t> dal 2 marzo </w:t>
      </w:r>
      <w:hyperlink r:id="rId11" w:tooltip="1855" w:history="1">
        <w:r w:rsidRPr="00112CFF">
          <w:rPr>
            <w:rStyle w:val="Collegamentoipertestuale"/>
            <w:rFonts w:asciiTheme="minorHAnsi" w:hAnsiTheme="minorHAnsi" w:cstheme="minorHAnsi"/>
            <w:color w:val="000000" w:themeColor="text1"/>
            <w:u w:val="none"/>
          </w:rPr>
          <w:t>1855</w:t>
        </w:r>
      </w:hyperlink>
      <w:r w:rsidRPr="00112CFF">
        <w:rPr>
          <w:rFonts w:asciiTheme="minorHAnsi" w:hAnsiTheme="minorHAnsi" w:cstheme="minorHAnsi"/>
          <w:color w:val="000000" w:themeColor="text1"/>
        </w:rPr>
        <w:t> alla sua morte.</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Fonts w:asciiTheme="minorHAnsi" w:hAnsiTheme="minorHAnsi" w:cstheme="minorHAnsi"/>
          <w:color w:val="000000" w:themeColor="text1"/>
        </w:rPr>
        <w:t>Nel </w:t>
      </w:r>
      <w:hyperlink r:id="rId12" w:tooltip="1861" w:history="1">
        <w:r w:rsidRPr="00112CFF">
          <w:rPr>
            <w:rStyle w:val="Collegamentoipertestuale"/>
            <w:rFonts w:asciiTheme="minorHAnsi" w:hAnsiTheme="minorHAnsi" w:cstheme="minorHAnsi"/>
            <w:color w:val="000000" w:themeColor="text1"/>
            <w:u w:val="none"/>
          </w:rPr>
          <w:t>1861</w:t>
        </w:r>
      </w:hyperlink>
      <w:r w:rsidRPr="00112CFF">
        <w:rPr>
          <w:rFonts w:asciiTheme="minorHAnsi" w:hAnsiTheme="minorHAnsi" w:cstheme="minorHAnsi"/>
          <w:color w:val="000000" w:themeColor="text1"/>
        </w:rPr>
        <w:t> ottenne e firmò una controversa </w:t>
      </w:r>
      <w:hyperlink r:id="rId13" w:tooltip="Riforma emancipativa del 1861" w:history="1">
        <w:r w:rsidRPr="00112CFF">
          <w:rPr>
            <w:rStyle w:val="Collegamentoipertestuale"/>
            <w:rFonts w:asciiTheme="minorHAnsi" w:hAnsiTheme="minorHAnsi" w:cstheme="minorHAnsi"/>
            <w:color w:val="000000" w:themeColor="text1"/>
            <w:u w:val="none"/>
          </w:rPr>
          <w:t>legge sull'emancipazione</w:t>
        </w:r>
      </w:hyperlink>
      <w:r w:rsidRPr="00112CFF">
        <w:rPr>
          <w:rFonts w:asciiTheme="minorHAnsi" w:hAnsiTheme="minorHAnsi" w:cstheme="minorHAnsi"/>
          <w:color w:val="000000" w:themeColor="text1"/>
        </w:rPr>
        <w:t> della </w:t>
      </w:r>
      <w:hyperlink r:id="rId14" w:tooltip="Servitù della gleba" w:history="1">
        <w:r w:rsidRPr="00112CFF">
          <w:rPr>
            <w:rStyle w:val="Collegamentoipertestuale"/>
            <w:rFonts w:asciiTheme="minorHAnsi" w:hAnsiTheme="minorHAnsi" w:cstheme="minorHAnsi"/>
            <w:color w:val="000000" w:themeColor="text1"/>
            <w:u w:val="none"/>
          </w:rPr>
          <w:t>servitù della gleba</w:t>
        </w:r>
      </w:hyperlink>
      <w:r w:rsidRPr="00112CFF">
        <w:rPr>
          <w:rFonts w:asciiTheme="minorHAnsi" w:hAnsiTheme="minorHAnsi" w:cstheme="minorHAnsi"/>
          <w:color w:val="000000" w:themeColor="text1"/>
        </w:rPr>
        <w:t> che determinò l'indipendenza della stragrande maggioranza dei contadini russi. Nel </w:t>
      </w:r>
      <w:hyperlink r:id="rId15" w:tooltip="1862" w:history="1">
        <w:r w:rsidRPr="00112CFF">
          <w:rPr>
            <w:rStyle w:val="Collegamentoipertestuale"/>
            <w:rFonts w:asciiTheme="minorHAnsi" w:hAnsiTheme="minorHAnsi" w:cstheme="minorHAnsi"/>
            <w:color w:val="000000" w:themeColor="text1"/>
            <w:u w:val="none"/>
          </w:rPr>
          <w:t>1862</w:t>
        </w:r>
      </w:hyperlink>
      <w:r w:rsidRPr="00112CFF">
        <w:rPr>
          <w:rFonts w:asciiTheme="minorHAnsi" w:hAnsiTheme="minorHAnsi" w:cstheme="minorHAnsi"/>
          <w:color w:val="000000" w:themeColor="text1"/>
        </w:rPr>
        <w:t> riformò l'amministrazione </w:t>
      </w:r>
      <w:hyperlink r:id="rId16" w:tooltip="Fisco" w:history="1">
        <w:r w:rsidRPr="00112CFF">
          <w:rPr>
            <w:rStyle w:val="Collegamentoipertestuale"/>
            <w:rFonts w:asciiTheme="minorHAnsi" w:hAnsiTheme="minorHAnsi" w:cstheme="minorHAnsi"/>
            <w:color w:val="000000" w:themeColor="text1"/>
            <w:u w:val="none"/>
          </w:rPr>
          <w:t>fiscale</w:t>
        </w:r>
      </w:hyperlink>
      <w:r w:rsidRPr="00112CFF">
        <w:rPr>
          <w:rFonts w:asciiTheme="minorHAnsi" w:hAnsiTheme="minorHAnsi" w:cstheme="minorHAnsi"/>
          <w:color w:val="000000" w:themeColor="text1"/>
        </w:rPr>
        <w:t> aumentandone l'efficienza. Nel </w:t>
      </w:r>
      <w:hyperlink r:id="rId17" w:tooltip="1863" w:history="1">
        <w:r w:rsidRPr="00112CFF">
          <w:rPr>
            <w:rStyle w:val="Collegamentoipertestuale"/>
            <w:rFonts w:asciiTheme="minorHAnsi" w:hAnsiTheme="minorHAnsi" w:cstheme="minorHAnsi"/>
            <w:color w:val="000000" w:themeColor="text1"/>
            <w:u w:val="none"/>
          </w:rPr>
          <w:t>1863</w:t>
        </w:r>
      </w:hyperlink>
      <w:r w:rsidRPr="00112CFF">
        <w:rPr>
          <w:rFonts w:asciiTheme="minorHAnsi" w:hAnsiTheme="minorHAnsi" w:cstheme="minorHAnsi"/>
          <w:color w:val="000000" w:themeColor="text1"/>
        </w:rPr>
        <w:t>, dopo una serie di decisioni prima liberali poi repressive, riformò l'università migliorandone le finanze e l'autonomia dei docenti. Nel </w:t>
      </w:r>
      <w:hyperlink r:id="rId18" w:tooltip="1864" w:history="1">
        <w:r w:rsidRPr="00112CFF">
          <w:rPr>
            <w:rStyle w:val="Collegamentoipertestuale"/>
            <w:rFonts w:asciiTheme="minorHAnsi" w:hAnsiTheme="minorHAnsi" w:cstheme="minorHAnsi"/>
            <w:color w:val="000000" w:themeColor="text1"/>
            <w:u w:val="none"/>
          </w:rPr>
          <w:t>1864</w:t>
        </w:r>
      </w:hyperlink>
      <w:r w:rsidRPr="00112CFF">
        <w:rPr>
          <w:rFonts w:asciiTheme="minorHAnsi" w:hAnsiTheme="minorHAnsi" w:cstheme="minorHAnsi"/>
          <w:color w:val="000000" w:themeColor="text1"/>
        </w:rPr>
        <w:t> completò la </w:t>
      </w:r>
      <w:hyperlink r:id="rId19" w:tooltip="Guerra caucasica" w:history="1">
        <w:r w:rsidRPr="00112CFF">
          <w:rPr>
            <w:rStyle w:val="Collegamentoipertestuale"/>
            <w:rFonts w:asciiTheme="minorHAnsi" w:hAnsiTheme="minorHAnsi" w:cstheme="minorHAnsi"/>
            <w:color w:val="000000" w:themeColor="text1"/>
            <w:u w:val="none"/>
          </w:rPr>
          <w:t>conquista del Caucaso</w:t>
        </w:r>
      </w:hyperlink>
      <w:r w:rsidRPr="00112CFF">
        <w:rPr>
          <w:rFonts w:asciiTheme="minorHAnsi" w:hAnsiTheme="minorHAnsi" w:cstheme="minorHAnsi"/>
          <w:color w:val="000000" w:themeColor="text1"/>
        </w:rPr>
        <w:t> iniziata dai suoi predecessori nel </w:t>
      </w:r>
      <w:hyperlink r:id="rId20" w:tooltip="1817" w:history="1">
        <w:r w:rsidRPr="00112CFF">
          <w:rPr>
            <w:rStyle w:val="Collegamentoipertestuale"/>
            <w:rFonts w:asciiTheme="minorHAnsi" w:hAnsiTheme="minorHAnsi" w:cstheme="minorHAnsi"/>
            <w:color w:val="000000" w:themeColor="text1"/>
            <w:u w:val="none"/>
          </w:rPr>
          <w:t>1817</w:t>
        </w:r>
      </w:hyperlink>
      <w:r w:rsidRPr="00112CFF">
        <w:rPr>
          <w:rFonts w:asciiTheme="minorHAnsi" w:hAnsiTheme="minorHAnsi" w:cstheme="minorHAnsi"/>
          <w:color w:val="000000" w:themeColor="text1"/>
        </w:rPr>
        <w:t> e riformò l'</w:t>
      </w:r>
      <w:hyperlink r:id="rId21" w:tooltip="Esercito imperiale russo" w:history="1">
        <w:r w:rsidRPr="00112CFF">
          <w:rPr>
            <w:rStyle w:val="Collegamentoipertestuale"/>
            <w:rFonts w:asciiTheme="minorHAnsi" w:hAnsiTheme="minorHAnsi" w:cstheme="minorHAnsi"/>
            <w:color w:val="000000" w:themeColor="text1"/>
            <w:u w:val="none"/>
          </w:rPr>
          <w:t>esercito</w:t>
        </w:r>
      </w:hyperlink>
      <w:r w:rsidRPr="00112CFF">
        <w:rPr>
          <w:rFonts w:asciiTheme="minorHAnsi" w:hAnsiTheme="minorHAnsi" w:cstheme="minorHAnsi"/>
          <w:color w:val="000000" w:themeColor="text1"/>
        </w:rPr>
        <w:t> di modo da ottenere riserve più numerose ed efficienti. Nello stesso anno riformò l'amministrazione locale creando le assemblee elettive degli </w:t>
      </w:r>
      <w:hyperlink r:id="rId22" w:tooltip="Zemstvo" w:history="1">
        <w:r w:rsidRPr="00112CFF">
          <w:rPr>
            <w:rStyle w:val="Collegamentoipertestuale"/>
            <w:rFonts w:asciiTheme="minorHAnsi" w:hAnsiTheme="minorHAnsi" w:cstheme="minorHAnsi"/>
            <w:i/>
            <w:iCs/>
            <w:color w:val="000000" w:themeColor="text1"/>
            <w:u w:val="none"/>
          </w:rPr>
          <w:t>zemstvo</w:t>
        </w:r>
      </w:hyperlink>
      <w:r w:rsidRPr="00112CFF">
        <w:rPr>
          <w:rFonts w:asciiTheme="minorHAnsi" w:hAnsiTheme="minorHAnsi" w:cstheme="minorHAnsi"/>
          <w:color w:val="000000" w:themeColor="text1"/>
        </w:rPr>
        <w:t>, e promulgò la riforma dell'ordine giudiziario.</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Fonts w:asciiTheme="minorHAnsi" w:hAnsiTheme="minorHAnsi" w:cstheme="minorHAnsi"/>
          <w:color w:val="000000" w:themeColor="text1"/>
        </w:rPr>
        <w:t>In politica estera riuscì ad annullare le pesanti clausole imposte alla </w:t>
      </w:r>
      <w:hyperlink r:id="rId23" w:tooltip="Impero russo" w:history="1">
        <w:r w:rsidRPr="00112CFF">
          <w:rPr>
            <w:rStyle w:val="Collegamentoipertestuale"/>
            <w:rFonts w:asciiTheme="minorHAnsi" w:hAnsiTheme="minorHAnsi" w:cstheme="minorHAnsi"/>
            <w:color w:val="000000" w:themeColor="text1"/>
            <w:u w:val="none"/>
          </w:rPr>
          <w:t>Russia</w:t>
        </w:r>
      </w:hyperlink>
      <w:r w:rsidRPr="00112CFF">
        <w:rPr>
          <w:rFonts w:asciiTheme="minorHAnsi" w:hAnsiTheme="minorHAnsi" w:cstheme="minorHAnsi"/>
          <w:color w:val="000000" w:themeColor="text1"/>
        </w:rPr>
        <w:t> dopo la </w:t>
      </w:r>
      <w:hyperlink r:id="rId24" w:tooltip="Guerra di Crimea" w:history="1">
        <w:r w:rsidRPr="00112CFF">
          <w:rPr>
            <w:rStyle w:val="Collegamentoipertestuale"/>
            <w:rFonts w:asciiTheme="minorHAnsi" w:hAnsiTheme="minorHAnsi" w:cstheme="minorHAnsi"/>
            <w:color w:val="000000" w:themeColor="text1"/>
            <w:u w:val="none"/>
          </w:rPr>
          <w:t>guerra di Crimea</w:t>
        </w:r>
      </w:hyperlink>
      <w:r w:rsidRPr="00112CFF">
        <w:rPr>
          <w:rFonts w:asciiTheme="minorHAnsi" w:hAnsiTheme="minorHAnsi" w:cstheme="minorHAnsi"/>
          <w:color w:val="000000" w:themeColor="text1"/>
        </w:rPr>
        <w:t> e attuò in Asia una politica di espansione che portò l'</w:t>
      </w:r>
      <w:hyperlink r:id="rId25" w:tooltip="Impero russo" w:history="1">
        <w:r w:rsidRPr="00112CFF">
          <w:rPr>
            <w:rStyle w:val="Collegamentoipertestuale"/>
            <w:rFonts w:asciiTheme="minorHAnsi" w:hAnsiTheme="minorHAnsi" w:cstheme="minorHAnsi"/>
            <w:color w:val="000000" w:themeColor="text1"/>
            <w:u w:val="none"/>
          </w:rPr>
          <w:t>Impero russo</w:t>
        </w:r>
      </w:hyperlink>
      <w:r w:rsidRPr="00112CFF">
        <w:rPr>
          <w:rFonts w:asciiTheme="minorHAnsi" w:hAnsiTheme="minorHAnsi" w:cstheme="minorHAnsi"/>
          <w:color w:val="000000" w:themeColor="text1"/>
        </w:rPr>
        <w:t> alla sua massima estensione territoriale. Cercò di coltivare l'amicizia della </w:t>
      </w:r>
      <w:hyperlink r:id="rId26" w:tooltip="Regno di Prussia" w:history="1">
        <w:r w:rsidRPr="00112CFF">
          <w:rPr>
            <w:rStyle w:val="Collegamentoipertestuale"/>
            <w:rFonts w:asciiTheme="minorHAnsi" w:hAnsiTheme="minorHAnsi" w:cstheme="minorHAnsi"/>
            <w:color w:val="000000" w:themeColor="text1"/>
            <w:u w:val="none"/>
          </w:rPr>
          <w:t>Prussia</w:t>
        </w:r>
      </w:hyperlink>
      <w:r w:rsidRPr="00112CFF">
        <w:rPr>
          <w:rFonts w:asciiTheme="minorHAnsi" w:hAnsiTheme="minorHAnsi" w:cstheme="minorHAnsi"/>
          <w:color w:val="000000" w:themeColor="text1"/>
        </w:rPr>
        <w:t>, del cui sovrano era nipote, e si trovò in contrasto con la </w:t>
      </w:r>
      <w:hyperlink r:id="rId27" w:tooltip="Regno Unito" w:history="1">
        <w:r w:rsidRPr="00112CFF">
          <w:rPr>
            <w:rStyle w:val="Collegamentoipertestuale"/>
            <w:rFonts w:asciiTheme="minorHAnsi" w:hAnsiTheme="minorHAnsi" w:cstheme="minorHAnsi"/>
            <w:color w:val="000000" w:themeColor="text1"/>
            <w:u w:val="none"/>
          </w:rPr>
          <w:t>Gran Bretagna</w:t>
        </w:r>
      </w:hyperlink>
      <w:r w:rsidRPr="00112CFF">
        <w:rPr>
          <w:rFonts w:asciiTheme="minorHAnsi" w:hAnsiTheme="minorHAnsi" w:cstheme="minorHAnsi"/>
          <w:color w:val="000000" w:themeColor="text1"/>
        </w:rPr>
        <w:t> sia per l'espansione russa in Asia, sia per l'</w:t>
      </w:r>
      <w:hyperlink r:id="rId28" w:tooltip="Guerra russo-turca (1877-1878)" w:history="1">
        <w:r w:rsidRPr="00112CFF">
          <w:rPr>
            <w:rStyle w:val="Collegamentoipertestuale"/>
            <w:rFonts w:asciiTheme="minorHAnsi" w:hAnsiTheme="minorHAnsi" w:cstheme="minorHAnsi"/>
            <w:color w:val="000000" w:themeColor="text1"/>
            <w:u w:val="none"/>
          </w:rPr>
          <w:t>attacco russo</w:t>
        </w:r>
      </w:hyperlink>
      <w:r w:rsidRPr="00112CFF">
        <w:rPr>
          <w:rFonts w:asciiTheme="minorHAnsi" w:hAnsiTheme="minorHAnsi" w:cstheme="minorHAnsi"/>
          <w:color w:val="000000" w:themeColor="text1"/>
        </w:rPr>
        <w:t> all'</w:t>
      </w:r>
      <w:hyperlink r:id="rId29" w:tooltip="Impero ottomano" w:history="1">
        <w:r w:rsidRPr="00112CFF">
          <w:rPr>
            <w:rStyle w:val="Collegamentoipertestuale"/>
            <w:rFonts w:asciiTheme="minorHAnsi" w:hAnsiTheme="minorHAnsi" w:cstheme="minorHAnsi"/>
            <w:color w:val="000000" w:themeColor="text1"/>
            <w:u w:val="none"/>
          </w:rPr>
          <w:t>Impero ottomano</w:t>
        </w:r>
      </w:hyperlink>
      <w:r w:rsidRPr="00112CFF">
        <w:rPr>
          <w:rFonts w:asciiTheme="minorHAnsi" w:hAnsiTheme="minorHAnsi" w:cstheme="minorHAnsi"/>
          <w:color w:val="000000" w:themeColor="text1"/>
        </w:rPr>
        <w:t xml:space="preserve"> del </w:t>
      </w:r>
      <w:hyperlink r:id="rId30" w:tooltip="1877" w:history="1">
        <w:r w:rsidRPr="00112CFF">
          <w:rPr>
            <w:rStyle w:val="Collegamentoipertestuale"/>
            <w:rFonts w:asciiTheme="minorHAnsi" w:hAnsiTheme="minorHAnsi" w:cstheme="minorHAnsi"/>
            <w:color w:val="000000" w:themeColor="text1"/>
            <w:u w:val="none"/>
          </w:rPr>
          <w:t>1877</w:t>
        </w:r>
      </w:hyperlink>
      <w:r w:rsidRPr="00112CFF">
        <w:rPr>
          <w:rFonts w:asciiTheme="minorHAnsi" w:hAnsiTheme="minorHAnsi" w:cstheme="minorHAnsi"/>
          <w:color w:val="000000" w:themeColor="text1"/>
        </w:rPr>
        <w:t>.</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Fonts w:asciiTheme="minorHAnsi" w:hAnsiTheme="minorHAnsi" w:cstheme="minorHAnsi"/>
          <w:color w:val="000000" w:themeColor="text1"/>
        </w:rPr>
        <w:t>Nel 1863 e nel 1864 represse con la forza i </w:t>
      </w:r>
      <w:hyperlink r:id="rId31" w:tooltip="Rivolta di gennaio" w:history="1">
        <w:r w:rsidRPr="00112CFF">
          <w:rPr>
            <w:rStyle w:val="Collegamentoipertestuale"/>
            <w:rFonts w:asciiTheme="minorHAnsi" w:hAnsiTheme="minorHAnsi" w:cstheme="minorHAnsi"/>
            <w:color w:val="000000" w:themeColor="text1"/>
            <w:u w:val="none"/>
          </w:rPr>
          <w:t>moti nazionalisti in Polonia</w:t>
        </w:r>
      </w:hyperlink>
      <w:r w:rsidRPr="00112CFF">
        <w:rPr>
          <w:rFonts w:asciiTheme="minorHAnsi" w:hAnsiTheme="minorHAnsi" w:cstheme="minorHAnsi"/>
          <w:color w:val="000000" w:themeColor="text1"/>
        </w:rPr>
        <w:t> e in alcune province nord-occidentali della Russia. Morì a causa di un attentato.</w:t>
      </w:r>
    </w:p>
  </w:footnote>
  <w:footnote w:id="3">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Style w:val="Rimandonotaapidipagina"/>
          <w:color w:val="000000" w:themeColor="text1"/>
        </w:rPr>
        <w:footnoteRef/>
      </w:r>
      <w:r w:rsidRPr="00112CFF">
        <w:rPr>
          <w:color w:val="000000" w:themeColor="text1"/>
        </w:rPr>
        <w:t xml:space="preserve"> </w:t>
      </w:r>
      <w:r w:rsidRPr="00112CFF">
        <w:rPr>
          <w:rFonts w:asciiTheme="minorHAnsi" w:hAnsiTheme="minorHAnsi" w:cstheme="minorHAnsi"/>
          <w:color w:val="000000" w:themeColor="text1"/>
        </w:rPr>
        <w:t>La </w:t>
      </w:r>
      <w:r w:rsidRPr="00112CFF">
        <w:rPr>
          <w:rFonts w:asciiTheme="minorHAnsi" w:hAnsiTheme="minorHAnsi" w:cstheme="minorHAnsi"/>
          <w:b/>
          <w:bCs/>
          <w:color w:val="000000" w:themeColor="text1"/>
        </w:rPr>
        <w:t>guerra di Crimea</w:t>
      </w:r>
      <w:r w:rsidRPr="00112CFF">
        <w:rPr>
          <w:rFonts w:asciiTheme="minorHAnsi" w:hAnsiTheme="minorHAnsi" w:cstheme="minorHAnsi"/>
          <w:color w:val="000000" w:themeColor="text1"/>
        </w:rPr>
        <w:t> (all'epoca chiamata </w:t>
      </w:r>
      <w:r w:rsidRPr="00112CFF">
        <w:rPr>
          <w:rFonts w:asciiTheme="minorHAnsi" w:hAnsiTheme="minorHAnsi" w:cstheme="minorHAnsi"/>
          <w:b/>
          <w:bCs/>
          <w:color w:val="000000" w:themeColor="text1"/>
        </w:rPr>
        <w:t>Guerra d'Oriente</w:t>
      </w:r>
      <w:r w:rsidRPr="00112CFF">
        <w:rPr>
          <w:rFonts w:asciiTheme="minorHAnsi" w:hAnsiTheme="minorHAnsi" w:cstheme="minorHAnsi"/>
          <w:color w:val="000000" w:themeColor="text1"/>
        </w:rPr>
        <w:t>) fu un </w:t>
      </w:r>
      <w:hyperlink r:id="rId32" w:tooltip="Guerra" w:history="1">
        <w:r w:rsidRPr="00112CFF">
          <w:rPr>
            <w:rStyle w:val="Collegamentoipertestuale"/>
            <w:rFonts w:asciiTheme="minorHAnsi" w:hAnsiTheme="minorHAnsi" w:cstheme="minorHAnsi"/>
            <w:color w:val="000000" w:themeColor="text1"/>
            <w:u w:val="none"/>
          </w:rPr>
          <w:t>conflitto</w:t>
        </w:r>
      </w:hyperlink>
      <w:r w:rsidRPr="00112CFF">
        <w:rPr>
          <w:rFonts w:asciiTheme="minorHAnsi" w:hAnsiTheme="minorHAnsi" w:cstheme="minorHAnsi"/>
          <w:color w:val="000000" w:themeColor="text1"/>
        </w:rPr>
        <w:t> combattuto dal 4 ottobre </w:t>
      </w:r>
      <w:hyperlink r:id="rId33" w:tooltip="1853" w:history="1">
        <w:r w:rsidRPr="00112CFF">
          <w:rPr>
            <w:rStyle w:val="Collegamentoipertestuale"/>
            <w:rFonts w:asciiTheme="minorHAnsi" w:hAnsiTheme="minorHAnsi" w:cstheme="minorHAnsi"/>
            <w:color w:val="000000" w:themeColor="text1"/>
            <w:u w:val="none"/>
          </w:rPr>
          <w:t>1853</w:t>
        </w:r>
      </w:hyperlink>
      <w:r w:rsidRPr="00112CFF">
        <w:rPr>
          <w:rFonts w:asciiTheme="minorHAnsi" w:hAnsiTheme="minorHAnsi" w:cstheme="minorHAnsi"/>
          <w:color w:val="000000" w:themeColor="text1"/>
        </w:rPr>
        <w:t> al 1º febbraio </w:t>
      </w:r>
      <w:hyperlink r:id="rId34" w:tooltip="1856" w:history="1">
        <w:r w:rsidRPr="00112CFF">
          <w:rPr>
            <w:rStyle w:val="Collegamentoipertestuale"/>
            <w:rFonts w:asciiTheme="minorHAnsi" w:hAnsiTheme="minorHAnsi" w:cstheme="minorHAnsi"/>
            <w:color w:val="000000" w:themeColor="text1"/>
            <w:u w:val="none"/>
          </w:rPr>
          <w:t>1856</w:t>
        </w:r>
      </w:hyperlink>
      <w:r w:rsidRPr="00112CFF">
        <w:rPr>
          <w:rFonts w:asciiTheme="minorHAnsi" w:hAnsiTheme="minorHAnsi" w:cstheme="minorHAnsi"/>
          <w:color w:val="000000" w:themeColor="text1"/>
        </w:rPr>
        <w:t> fra l'</w:t>
      </w:r>
      <w:hyperlink r:id="rId35" w:tooltip="Impero russo" w:history="1">
        <w:r w:rsidRPr="00112CFF">
          <w:rPr>
            <w:rStyle w:val="Collegamentoipertestuale"/>
            <w:rFonts w:asciiTheme="minorHAnsi" w:hAnsiTheme="minorHAnsi" w:cstheme="minorHAnsi"/>
            <w:color w:val="000000" w:themeColor="text1"/>
            <w:u w:val="none"/>
          </w:rPr>
          <w:t>Impero russo</w:t>
        </w:r>
      </w:hyperlink>
      <w:r w:rsidRPr="00112CFF">
        <w:rPr>
          <w:rFonts w:asciiTheme="minorHAnsi" w:hAnsiTheme="minorHAnsi" w:cstheme="minorHAnsi"/>
          <w:color w:val="000000" w:themeColor="text1"/>
        </w:rPr>
        <w:t> da un lato e un'alleanza composta da </w:t>
      </w:r>
      <w:hyperlink r:id="rId36" w:tooltip="Impero ottomano" w:history="1">
        <w:r w:rsidRPr="00112CFF">
          <w:rPr>
            <w:rStyle w:val="Collegamentoipertestuale"/>
            <w:rFonts w:asciiTheme="minorHAnsi" w:hAnsiTheme="minorHAnsi" w:cstheme="minorHAnsi"/>
            <w:color w:val="000000" w:themeColor="text1"/>
            <w:u w:val="none"/>
          </w:rPr>
          <w:t>Impero ottomano</w:t>
        </w:r>
      </w:hyperlink>
      <w:r w:rsidRPr="00112CFF">
        <w:rPr>
          <w:rFonts w:asciiTheme="minorHAnsi" w:hAnsiTheme="minorHAnsi" w:cstheme="minorHAnsi"/>
          <w:color w:val="000000" w:themeColor="text1"/>
        </w:rPr>
        <w:t>, </w:t>
      </w:r>
      <w:hyperlink r:id="rId37" w:tooltip="Secondo Impero francese" w:history="1">
        <w:r w:rsidRPr="00112CFF">
          <w:rPr>
            <w:rStyle w:val="Collegamentoipertestuale"/>
            <w:rFonts w:asciiTheme="minorHAnsi" w:hAnsiTheme="minorHAnsi" w:cstheme="minorHAnsi"/>
            <w:color w:val="000000" w:themeColor="text1"/>
            <w:u w:val="none"/>
          </w:rPr>
          <w:t>Francia</w:t>
        </w:r>
      </w:hyperlink>
      <w:r w:rsidRPr="00112CFF">
        <w:rPr>
          <w:rFonts w:asciiTheme="minorHAnsi" w:hAnsiTheme="minorHAnsi" w:cstheme="minorHAnsi"/>
          <w:color w:val="000000" w:themeColor="text1"/>
        </w:rPr>
        <w:t>, </w:t>
      </w:r>
      <w:hyperlink r:id="rId38" w:tooltip="Regno Unito di Gran Bretagna e Irlanda" w:history="1">
        <w:r w:rsidRPr="00112CFF">
          <w:rPr>
            <w:rStyle w:val="Collegamentoipertestuale"/>
            <w:rFonts w:asciiTheme="minorHAnsi" w:hAnsiTheme="minorHAnsi" w:cstheme="minorHAnsi"/>
            <w:color w:val="000000" w:themeColor="text1"/>
            <w:u w:val="none"/>
          </w:rPr>
          <w:t>Regno Unito</w:t>
        </w:r>
      </w:hyperlink>
      <w:r w:rsidRPr="00112CFF">
        <w:rPr>
          <w:rFonts w:asciiTheme="minorHAnsi" w:hAnsiTheme="minorHAnsi" w:cstheme="minorHAnsi"/>
          <w:color w:val="000000" w:themeColor="text1"/>
        </w:rPr>
        <w:t> e </w:t>
      </w:r>
      <w:hyperlink r:id="rId39" w:tooltip="Regno di Sardegna (1720-1861)" w:history="1">
        <w:r w:rsidRPr="00112CFF">
          <w:rPr>
            <w:rStyle w:val="Collegamentoipertestuale"/>
            <w:rFonts w:asciiTheme="minorHAnsi" w:hAnsiTheme="minorHAnsi" w:cstheme="minorHAnsi"/>
            <w:color w:val="000000" w:themeColor="text1"/>
            <w:u w:val="none"/>
          </w:rPr>
          <w:t>Regno di Sardegna</w:t>
        </w:r>
      </w:hyperlink>
      <w:r w:rsidRPr="00112CFF">
        <w:rPr>
          <w:rFonts w:asciiTheme="minorHAnsi" w:hAnsiTheme="minorHAnsi" w:cstheme="minorHAnsi"/>
          <w:color w:val="000000" w:themeColor="text1"/>
        </w:rPr>
        <w:t> dall'altro.</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Fonts w:asciiTheme="minorHAnsi" w:hAnsiTheme="minorHAnsi" w:cstheme="minorHAnsi"/>
          <w:color w:val="000000" w:themeColor="text1"/>
        </w:rPr>
        <w:t>Il conflitto ebbe origine da una disputa fra Russia e Francia sul controllo dei </w:t>
      </w:r>
      <w:hyperlink r:id="rId40" w:tooltip="Terra santa" w:history="1">
        <w:r w:rsidRPr="00112CFF">
          <w:rPr>
            <w:rStyle w:val="Collegamentoipertestuale"/>
            <w:rFonts w:asciiTheme="minorHAnsi" w:hAnsiTheme="minorHAnsi" w:cstheme="minorHAnsi"/>
            <w:color w:val="000000" w:themeColor="text1"/>
            <w:u w:val="none"/>
          </w:rPr>
          <w:t>luoghi santi</w:t>
        </w:r>
      </w:hyperlink>
      <w:r w:rsidRPr="00112CFF">
        <w:rPr>
          <w:rFonts w:asciiTheme="minorHAnsi" w:hAnsiTheme="minorHAnsi" w:cstheme="minorHAnsi"/>
          <w:color w:val="000000" w:themeColor="text1"/>
        </w:rPr>
        <w:t> della cristianità in territorio ottomano.</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rPr>
      </w:pPr>
      <w:r w:rsidRPr="00112CFF">
        <w:rPr>
          <w:rFonts w:asciiTheme="minorHAnsi" w:hAnsiTheme="minorHAnsi" w:cstheme="minorHAnsi"/>
          <w:color w:val="000000" w:themeColor="text1"/>
        </w:rPr>
        <w:t>Quando la </w:t>
      </w:r>
      <w:hyperlink r:id="rId41" w:tooltip="Impero ottomano" w:history="1">
        <w:r w:rsidRPr="00112CFF">
          <w:rPr>
            <w:rStyle w:val="Collegamentoipertestuale"/>
            <w:rFonts w:asciiTheme="minorHAnsi" w:hAnsiTheme="minorHAnsi" w:cstheme="minorHAnsi"/>
            <w:color w:val="000000" w:themeColor="text1"/>
            <w:u w:val="none"/>
          </w:rPr>
          <w:t>Turchia</w:t>
        </w:r>
      </w:hyperlink>
      <w:r w:rsidRPr="00112CFF">
        <w:rPr>
          <w:rFonts w:asciiTheme="minorHAnsi" w:hAnsiTheme="minorHAnsi" w:cstheme="minorHAnsi"/>
          <w:color w:val="000000" w:themeColor="text1"/>
        </w:rPr>
        <w:t> accettò le proposte francesi, la Russia nel luglio 1853 la attaccò. La Gran Bretagna, temendo l'espansione russa verso il </w:t>
      </w:r>
      <w:hyperlink r:id="rId42" w:tooltip="Mar Mediterraneo" w:history="1">
        <w:r w:rsidRPr="00112CFF">
          <w:rPr>
            <w:rStyle w:val="Collegamentoipertestuale"/>
            <w:rFonts w:asciiTheme="minorHAnsi" w:hAnsiTheme="minorHAnsi" w:cstheme="minorHAnsi"/>
            <w:color w:val="000000" w:themeColor="text1"/>
            <w:u w:val="none"/>
          </w:rPr>
          <w:t>Mediterraneo</w:t>
        </w:r>
      </w:hyperlink>
      <w:r w:rsidRPr="00112CFF">
        <w:rPr>
          <w:rFonts w:asciiTheme="minorHAnsi" w:hAnsiTheme="minorHAnsi" w:cstheme="minorHAnsi"/>
          <w:color w:val="000000" w:themeColor="text1"/>
        </w:rPr>
        <w:t>, si unì alla Francia ed entrambe si mossero per difendere la Turchia, dichiarando guerra alla Russia nel marzo del </w:t>
      </w:r>
      <w:hyperlink r:id="rId43" w:tooltip="1854" w:history="1">
        <w:r w:rsidRPr="00112CFF">
          <w:rPr>
            <w:rStyle w:val="Collegamentoipertestuale"/>
            <w:rFonts w:asciiTheme="minorHAnsi" w:hAnsiTheme="minorHAnsi" w:cstheme="minorHAnsi"/>
            <w:color w:val="000000" w:themeColor="text1"/>
            <w:u w:val="none"/>
          </w:rPr>
          <w:t>1854</w:t>
        </w:r>
      </w:hyperlink>
      <w:r w:rsidRPr="00112CFF">
        <w:rPr>
          <w:rFonts w:asciiTheme="minorHAnsi" w:hAnsiTheme="minorHAnsi" w:cstheme="minorHAnsi"/>
          <w:color w:val="000000" w:themeColor="text1"/>
        </w:rPr>
        <w:t>. L'</w:t>
      </w:r>
      <w:hyperlink r:id="rId44" w:tooltip="Impero austriaco" w:history="1">
        <w:r w:rsidRPr="00112CFF">
          <w:rPr>
            <w:rStyle w:val="Collegamentoipertestuale"/>
            <w:rFonts w:asciiTheme="minorHAnsi" w:hAnsiTheme="minorHAnsi" w:cstheme="minorHAnsi"/>
            <w:color w:val="000000" w:themeColor="text1"/>
            <w:u w:val="none"/>
          </w:rPr>
          <w:t>Austria</w:t>
        </w:r>
      </w:hyperlink>
      <w:r w:rsidRPr="00112CFF">
        <w:rPr>
          <w:rFonts w:asciiTheme="minorHAnsi" w:hAnsiTheme="minorHAnsi" w:cstheme="minorHAnsi"/>
          <w:color w:val="000000" w:themeColor="text1"/>
        </w:rPr>
        <w:t> appoggiò politicamente le potenze occidentali e il </w:t>
      </w:r>
      <w:hyperlink r:id="rId45" w:tooltip="Regno di Sardegna (1720-1861)" w:history="1">
        <w:r w:rsidRPr="00112CFF">
          <w:rPr>
            <w:rStyle w:val="Collegamentoipertestuale"/>
            <w:rFonts w:asciiTheme="minorHAnsi" w:hAnsiTheme="minorHAnsi" w:cstheme="minorHAnsi"/>
            <w:color w:val="000000" w:themeColor="text1"/>
            <w:u w:val="none"/>
          </w:rPr>
          <w:t>Regno di Sardegna</w:t>
        </w:r>
      </w:hyperlink>
      <w:r w:rsidRPr="00112CFF">
        <w:rPr>
          <w:rFonts w:asciiTheme="minorHAnsi" w:hAnsiTheme="minorHAnsi" w:cstheme="minorHAnsi"/>
          <w:color w:val="000000" w:themeColor="text1"/>
        </w:rPr>
        <w:t>, nel timore che la Francia si legasse troppo all'Austria, nel gennaio 1855 inviò un contingente militare al fianco dell'esercito anglo-francese dichiarando a sua volta guerra alla Russia.</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szCs w:val="20"/>
        </w:rPr>
      </w:pPr>
      <w:r w:rsidRPr="00112CFF">
        <w:rPr>
          <w:rFonts w:asciiTheme="minorHAnsi" w:hAnsiTheme="minorHAnsi" w:cstheme="minorHAnsi"/>
          <w:color w:val="000000" w:themeColor="text1"/>
        </w:rPr>
        <w:t>Il conflitto si svolse soprattutto nella penisola russa di </w:t>
      </w:r>
      <w:hyperlink r:id="rId46" w:tooltip="Penisola di Crimea" w:history="1">
        <w:r w:rsidRPr="00112CFF">
          <w:rPr>
            <w:rStyle w:val="Collegamentoipertestuale"/>
            <w:rFonts w:asciiTheme="minorHAnsi" w:hAnsiTheme="minorHAnsi" w:cstheme="minorHAnsi"/>
            <w:color w:val="000000" w:themeColor="text1"/>
            <w:u w:val="none"/>
          </w:rPr>
          <w:t>Crimea</w:t>
        </w:r>
      </w:hyperlink>
      <w:r w:rsidRPr="00112CFF">
        <w:rPr>
          <w:rFonts w:asciiTheme="minorHAnsi" w:hAnsiTheme="minorHAnsi" w:cstheme="minorHAnsi"/>
          <w:color w:val="000000" w:themeColor="text1"/>
        </w:rPr>
        <w:t>, dove le truppe alleate misero sotto assedio la città di </w:t>
      </w:r>
      <w:hyperlink r:id="rId47" w:tooltip="Sebastopoli" w:history="1">
        <w:r w:rsidRPr="00112CFF">
          <w:rPr>
            <w:rStyle w:val="Collegamentoipertestuale"/>
            <w:rFonts w:asciiTheme="minorHAnsi" w:hAnsiTheme="minorHAnsi" w:cstheme="minorHAnsi"/>
            <w:color w:val="000000" w:themeColor="text1"/>
            <w:u w:val="none"/>
          </w:rPr>
          <w:t>Sebastopoli</w:t>
        </w:r>
      </w:hyperlink>
      <w:r w:rsidRPr="00112CFF">
        <w:rPr>
          <w:rFonts w:asciiTheme="minorHAnsi" w:hAnsiTheme="minorHAnsi" w:cstheme="minorHAnsi"/>
          <w:color w:val="000000" w:themeColor="text1"/>
        </w:rPr>
        <w:t>, principale base navale russa del </w:t>
      </w:r>
      <w:hyperlink r:id="rId48" w:tooltip="Mar Nero" w:history="1">
        <w:r w:rsidRPr="00112CFF">
          <w:rPr>
            <w:rStyle w:val="Collegamentoipertestuale"/>
            <w:rFonts w:asciiTheme="minorHAnsi" w:hAnsiTheme="minorHAnsi" w:cstheme="minorHAnsi"/>
            <w:color w:val="000000" w:themeColor="text1"/>
            <w:u w:val="none"/>
          </w:rPr>
          <w:t>mar Nero</w:t>
        </w:r>
      </w:hyperlink>
      <w:r w:rsidRPr="00112CFF">
        <w:rPr>
          <w:rFonts w:asciiTheme="minorHAnsi" w:hAnsiTheme="minorHAnsi" w:cstheme="minorHAnsi"/>
          <w:color w:val="000000" w:themeColor="text1"/>
        </w:rPr>
        <w:t xml:space="preserve">. Dopo vani tentativi dei russi di rompere l'assedio (battaglie </w:t>
      </w:r>
      <w:r w:rsidRPr="00112CFF">
        <w:rPr>
          <w:rFonts w:asciiTheme="minorHAnsi" w:hAnsiTheme="minorHAnsi" w:cstheme="minorHAnsi"/>
          <w:color w:val="000000" w:themeColor="text1"/>
          <w:szCs w:val="20"/>
        </w:rPr>
        <w:t>di </w:t>
      </w:r>
      <w:hyperlink r:id="rId49" w:tooltip="Battaglia di Balaklava" w:history="1">
        <w:r w:rsidRPr="00112CFF">
          <w:rPr>
            <w:rStyle w:val="Collegamentoipertestuale"/>
            <w:rFonts w:asciiTheme="minorHAnsi" w:hAnsiTheme="minorHAnsi" w:cstheme="minorHAnsi"/>
            <w:color w:val="000000" w:themeColor="text1"/>
            <w:szCs w:val="20"/>
            <w:u w:val="none"/>
          </w:rPr>
          <w:t>Balaklava</w:t>
        </w:r>
      </w:hyperlink>
      <w:r w:rsidRPr="00112CFF">
        <w:rPr>
          <w:rFonts w:asciiTheme="minorHAnsi" w:hAnsiTheme="minorHAnsi" w:cstheme="minorHAnsi"/>
          <w:color w:val="000000" w:themeColor="text1"/>
          <w:szCs w:val="20"/>
        </w:rPr>
        <w:t>, di </w:t>
      </w:r>
      <w:hyperlink r:id="rId50" w:tooltip="Battaglia di Inkerman" w:history="1">
        <w:r w:rsidRPr="00112CFF">
          <w:rPr>
            <w:rStyle w:val="Collegamentoipertestuale"/>
            <w:rFonts w:asciiTheme="minorHAnsi" w:hAnsiTheme="minorHAnsi" w:cstheme="minorHAnsi"/>
            <w:color w:val="000000" w:themeColor="text1"/>
            <w:szCs w:val="20"/>
            <w:u w:val="none"/>
          </w:rPr>
          <w:t>Inkerman</w:t>
        </w:r>
      </w:hyperlink>
      <w:r w:rsidRPr="00112CFF">
        <w:rPr>
          <w:rFonts w:asciiTheme="minorHAnsi" w:hAnsiTheme="minorHAnsi" w:cstheme="minorHAnsi"/>
          <w:color w:val="000000" w:themeColor="text1"/>
          <w:szCs w:val="20"/>
        </w:rPr>
        <w:t>, della </w:t>
      </w:r>
      <w:hyperlink r:id="rId51" w:tooltip="Battaglia della Cernaia" w:history="1">
        <w:r w:rsidRPr="00112CFF">
          <w:rPr>
            <w:rStyle w:val="Collegamentoipertestuale"/>
            <w:rFonts w:asciiTheme="minorHAnsi" w:hAnsiTheme="minorHAnsi" w:cstheme="minorHAnsi"/>
            <w:color w:val="000000" w:themeColor="text1"/>
            <w:szCs w:val="20"/>
            <w:u w:val="none"/>
          </w:rPr>
          <w:t>Cernaia</w:t>
        </w:r>
      </w:hyperlink>
      <w:r w:rsidRPr="00112CFF">
        <w:rPr>
          <w:rFonts w:asciiTheme="minorHAnsi" w:hAnsiTheme="minorHAnsi" w:cstheme="minorHAnsi"/>
          <w:color w:val="000000" w:themeColor="text1"/>
          <w:szCs w:val="20"/>
        </w:rPr>
        <w:t>) e l'</w:t>
      </w:r>
      <w:hyperlink r:id="rId52" w:tooltip="Battaglia di Malachov" w:history="1">
        <w:r w:rsidRPr="00112CFF">
          <w:rPr>
            <w:rStyle w:val="Collegamentoipertestuale"/>
            <w:rFonts w:asciiTheme="minorHAnsi" w:hAnsiTheme="minorHAnsi" w:cstheme="minorHAnsi"/>
            <w:color w:val="000000" w:themeColor="text1"/>
            <w:szCs w:val="20"/>
            <w:u w:val="none"/>
          </w:rPr>
          <w:t>attacco finale</w:t>
        </w:r>
      </w:hyperlink>
      <w:r w:rsidRPr="00112CFF">
        <w:rPr>
          <w:rFonts w:asciiTheme="minorHAnsi" w:hAnsiTheme="minorHAnsi" w:cstheme="minorHAnsi"/>
          <w:color w:val="000000" w:themeColor="text1"/>
          <w:szCs w:val="20"/>
        </w:rPr>
        <w:t> degli alleati, Sebastopoli fu abbandonata dai difensori il 9 settembre 1855, portando alla sconfitta della Russia.</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color w:val="000000" w:themeColor="text1"/>
          <w:szCs w:val="19"/>
        </w:rPr>
      </w:pPr>
      <w:r w:rsidRPr="00112CFF">
        <w:rPr>
          <w:rFonts w:asciiTheme="minorHAnsi" w:hAnsiTheme="minorHAnsi" w:cstheme="minorHAnsi"/>
          <w:color w:val="000000" w:themeColor="text1"/>
          <w:szCs w:val="19"/>
        </w:rPr>
        <w:t>Il </w:t>
      </w:r>
      <w:hyperlink r:id="rId53" w:tooltip="Congresso di Parigi" w:history="1">
        <w:r w:rsidRPr="00112CFF">
          <w:rPr>
            <w:rStyle w:val="Collegamentoipertestuale"/>
            <w:rFonts w:asciiTheme="minorHAnsi" w:hAnsiTheme="minorHAnsi" w:cstheme="minorHAnsi"/>
            <w:color w:val="000000" w:themeColor="text1"/>
            <w:szCs w:val="19"/>
            <w:u w:val="none"/>
          </w:rPr>
          <w:t>Congresso di Parigi</w:t>
        </w:r>
      </w:hyperlink>
      <w:r w:rsidRPr="00112CFF">
        <w:rPr>
          <w:rFonts w:asciiTheme="minorHAnsi" w:hAnsiTheme="minorHAnsi" w:cstheme="minorHAnsi"/>
          <w:color w:val="000000" w:themeColor="text1"/>
          <w:szCs w:val="19"/>
        </w:rPr>
        <w:t> del 1856 stabilì le condizioni di pace avvicinando politicamente il Regno di Sardegna alla Francia e favorendo quel processo di intese che porterà nel 1859 alla </w:t>
      </w:r>
      <w:hyperlink r:id="rId54" w:tooltip="Seconda guerra di indipendenza" w:history="1">
        <w:r w:rsidRPr="00112CFF">
          <w:rPr>
            <w:rStyle w:val="Collegamentoipertestuale"/>
            <w:rFonts w:asciiTheme="minorHAnsi" w:hAnsiTheme="minorHAnsi" w:cstheme="minorHAnsi"/>
            <w:color w:val="000000" w:themeColor="text1"/>
            <w:szCs w:val="19"/>
            <w:u w:val="none"/>
          </w:rPr>
          <w:t>seconda guerra di indipendenza</w:t>
        </w:r>
      </w:hyperlink>
      <w:r w:rsidRPr="00112CFF">
        <w:rPr>
          <w:rFonts w:asciiTheme="minorHAnsi" w:hAnsiTheme="minorHAnsi" w:cstheme="minorHAnsi"/>
          <w:color w:val="000000" w:themeColor="text1"/>
          <w:szCs w:val="19"/>
        </w:rPr>
        <w:t>.</w:t>
      </w:r>
    </w:p>
  </w:footnote>
  <w:footnote w:id="4">
    <w:p w:rsidR="000B2651" w:rsidRDefault="000B2651" w:rsidP="007F3A37">
      <w:pPr>
        <w:pStyle w:val="Testonotaapidipagina"/>
        <w:jc w:val="both"/>
      </w:pPr>
      <w:r w:rsidRPr="00112CFF">
        <w:rPr>
          <w:rStyle w:val="Rimandonotaapidipagina"/>
          <w:sz w:val="24"/>
        </w:rPr>
        <w:footnoteRef/>
      </w:r>
      <w:r w:rsidRPr="00112CFF">
        <w:rPr>
          <w:sz w:val="24"/>
        </w:rPr>
        <w:t xml:space="preserve"> Al termine del conflitto la Svezia cedette all’Impero Russo le province della Livonia, dell’Estonia, dell’ingria e della Carelia. Inoltre la Svezia lasciò alla Russia la città di Riga</w:t>
      </w:r>
    </w:p>
  </w:footnote>
  <w:footnote w:id="5">
    <w:p w:rsidR="000B2651" w:rsidRDefault="000B2651" w:rsidP="007F3A37">
      <w:pPr>
        <w:pStyle w:val="Testonotaapidipagina"/>
        <w:jc w:val="both"/>
      </w:pPr>
      <w:r w:rsidRPr="00112CFF">
        <w:rPr>
          <w:rStyle w:val="Rimandonotaapidipagina"/>
          <w:sz w:val="24"/>
        </w:rPr>
        <w:footnoteRef/>
      </w:r>
      <w:r w:rsidRPr="00112CFF">
        <w:rPr>
          <w:sz w:val="24"/>
        </w:rPr>
        <w:t xml:space="preserve"> Il nome “Turchia” viene usato, generalmente, con il movimento dei giovani turchi dell’inizio del XX secolo per il ripristino della costituzione del 1876</w:t>
      </w:r>
    </w:p>
  </w:footnote>
  <w:footnote w:id="6">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In Russia la servitù della gleba cominciò ad affermarsi nel 1601, quando o zar Boris Godunov limitò la libertà di movimento dei contadini</w:t>
      </w:r>
    </w:p>
  </w:footnote>
  <w:footnote w:id="7">
    <w:p w:rsidR="000B2651" w:rsidRDefault="000B2651" w:rsidP="007F3A37">
      <w:pPr>
        <w:pStyle w:val="Testonotaapidipagina"/>
        <w:jc w:val="both"/>
      </w:pPr>
      <w:r w:rsidRPr="00112CFF">
        <w:rPr>
          <w:rStyle w:val="Rimandonotaapidipagina"/>
          <w:sz w:val="24"/>
        </w:rPr>
        <w:footnoteRef/>
      </w:r>
      <w:r w:rsidRPr="00112CFF">
        <w:rPr>
          <w:sz w:val="24"/>
        </w:rPr>
        <w:t xml:space="preserve"> L’emancipazione è avvenuta circa 50 anni dopo rispetto al resto d’Europa</w:t>
      </w:r>
    </w:p>
  </w:footnote>
  <w:footnote w:id="8">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Un cernozem (pronuncia ciernosio) sono presenti in Ucraina, in Russia meridionale e nella Siberia sud-occidentale (quindi al di là dei monti urali al nord del Kazakistan)</w:t>
      </w:r>
    </w:p>
  </w:footnote>
  <w:footnote w:id="9">
    <w:p w:rsidR="000B2651" w:rsidRDefault="000B2651" w:rsidP="007F3A37">
      <w:pPr>
        <w:pStyle w:val="Testonotaapidipagina"/>
        <w:jc w:val="both"/>
      </w:pPr>
      <w:r w:rsidRPr="00112CFF">
        <w:rPr>
          <w:rStyle w:val="Rimandonotaapidipagina"/>
          <w:sz w:val="24"/>
        </w:rPr>
        <w:footnoteRef/>
      </w:r>
      <w:r w:rsidRPr="00112CFF">
        <w:rPr>
          <w:sz w:val="24"/>
        </w:rPr>
        <w:t xml:space="preserve"> Significa “persone di vario rango”</w:t>
      </w:r>
    </w:p>
  </w:footnote>
  <w:footnote w:id="10">
    <w:p w:rsidR="000B2651" w:rsidRDefault="000B2651" w:rsidP="007F3A37">
      <w:pPr>
        <w:pStyle w:val="Testonotaapidipagina"/>
        <w:jc w:val="both"/>
      </w:pPr>
      <w:r w:rsidRPr="00112CFF">
        <w:rPr>
          <w:rStyle w:val="Rimandonotaapidipagina"/>
          <w:sz w:val="24"/>
        </w:rPr>
        <w:footnoteRef/>
      </w:r>
      <w:r w:rsidRPr="00112CFF">
        <w:rPr>
          <w:sz w:val="24"/>
        </w:rPr>
        <w:t xml:space="preserve"> Termine che designava la coltivazione in comune delle terre in opposizione alla coltivazione privata dei </w:t>
      </w:r>
      <w:r w:rsidRPr="00112CFF">
        <w:rPr>
          <w:i/>
          <w:sz w:val="24"/>
        </w:rPr>
        <w:t>kutari</w:t>
      </w:r>
    </w:p>
  </w:footnote>
  <w:footnote w:id="11">
    <w:p w:rsidR="000B2651" w:rsidRPr="00D61023" w:rsidRDefault="000B2651" w:rsidP="007F3A37">
      <w:pPr>
        <w:pStyle w:val="Testonotaapidipagina"/>
        <w:jc w:val="both"/>
        <w:rPr>
          <w:rFonts w:cstheme="minorHAnsi"/>
        </w:rPr>
      </w:pPr>
      <w:r w:rsidRPr="00112CFF">
        <w:rPr>
          <w:rStyle w:val="Rimandonotaapidipagina"/>
          <w:rFonts w:cstheme="minorHAnsi"/>
          <w:sz w:val="24"/>
        </w:rPr>
        <w:footnoteRef/>
      </w:r>
      <w:r w:rsidRPr="00112CFF">
        <w:rPr>
          <w:rFonts w:cstheme="minorHAnsi"/>
          <w:sz w:val="24"/>
        </w:rPr>
        <w:t xml:space="preserve"> </w:t>
      </w:r>
      <w:r w:rsidRPr="00112CFF">
        <w:rPr>
          <w:rFonts w:cstheme="minorHAnsi"/>
          <w:color w:val="222222"/>
          <w:sz w:val="24"/>
          <w:shd w:val="clear" w:color="auto" w:fill="F8F9FA"/>
        </w:rPr>
        <w:t>Come gli inglesi russofobi vedevano la situazione europea allo scoppio della guerra russo-turca.</w:t>
      </w:r>
    </w:p>
  </w:footnote>
  <w:footnote w:id="12">
    <w:p w:rsidR="000B2651" w:rsidRPr="00112CFF" w:rsidRDefault="000B2651" w:rsidP="007F3A37">
      <w:pPr>
        <w:pStyle w:val="Testonotaapidipagina"/>
        <w:jc w:val="both"/>
        <w:rPr>
          <w:rFonts w:cstheme="minorHAnsi"/>
          <w:sz w:val="24"/>
        </w:rPr>
      </w:pPr>
      <w:r w:rsidRPr="00112CFF">
        <w:rPr>
          <w:rStyle w:val="Rimandonotaapidipagina"/>
          <w:rFonts w:cstheme="minorHAnsi"/>
          <w:sz w:val="24"/>
        </w:rPr>
        <w:footnoteRef/>
      </w:r>
      <w:r w:rsidRPr="00112CFF">
        <w:rPr>
          <w:rFonts w:cstheme="minorHAnsi"/>
          <w:sz w:val="24"/>
        </w:rPr>
        <w:t xml:space="preserve"> </w:t>
      </w:r>
      <w:r w:rsidRPr="00112CFF">
        <w:rPr>
          <w:rFonts w:cstheme="minorHAnsi"/>
          <w:sz w:val="24"/>
          <w:shd w:val="clear" w:color="auto" w:fill="F8F9FA"/>
        </w:rPr>
        <w:t>L'area delle decisioni del Congresso di Berlino in una carta inglese. Le modifiche rispetto alla </w:t>
      </w:r>
      <w:hyperlink r:id="rId55" w:tooltip="Pace di Santo Stefano" w:history="1">
        <w:r w:rsidRPr="00112CFF">
          <w:rPr>
            <w:rStyle w:val="Collegamentoipertestuale"/>
            <w:rFonts w:cstheme="minorHAnsi"/>
            <w:color w:val="auto"/>
            <w:sz w:val="24"/>
            <w:u w:val="none"/>
            <w:shd w:val="clear" w:color="auto" w:fill="F8F9FA"/>
          </w:rPr>
          <w:t>Pace di Santo Stefano</w:t>
        </w:r>
      </w:hyperlink>
      <w:r w:rsidRPr="00112CFF">
        <w:rPr>
          <w:rFonts w:cstheme="minorHAnsi"/>
          <w:sz w:val="24"/>
          <w:shd w:val="clear" w:color="auto" w:fill="F8F9FA"/>
        </w:rPr>
        <w:t>: la riduzione e la divisione della </w:t>
      </w:r>
      <w:hyperlink r:id="rId56" w:tooltip="Principato di Bulgaria" w:history="1">
        <w:r w:rsidRPr="00112CFF">
          <w:rPr>
            <w:rStyle w:val="Collegamentoipertestuale"/>
            <w:rFonts w:cstheme="minorHAnsi"/>
            <w:color w:val="auto"/>
            <w:sz w:val="24"/>
            <w:u w:val="none"/>
            <w:shd w:val="clear" w:color="auto" w:fill="F8F9FA"/>
          </w:rPr>
          <w:t>Bulgaria</w:t>
        </w:r>
      </w:hyperlink>
      <w:r w:rsidRPr="00112CFF">
        <w:rPr>
          <w:rFonts w:cstheme="minorHAnsi"/>
          <w:sz w:val="24"/>
          <w:shd w:val="clear" w:color="auto" w:fill="F8F9FA"/>
        </w:rPr>
        <w:t> e l'amministrazione austriaca della </w:t>
      </w:r>
      <w:hyperlink r:id="rId57" w:tooltip="Bosnia ed Erzegovina" w:history="1">
        <w:r w:rsidRPr="00112CFF">
          <w:rPr>
            <w:rStyle w:val="Collegamentoipertestuale"/>
            <w:rFonts w:cstheme="minorHAnsi"/>
            <w:color w:val="auto"/>
            <w:sz w:val="24"/>
            <w:u w:val="none"/>
            <w:shd w:val="clear" w:color="auto" w:fill="F8F9FA"/>
          </w:rPr>
          <w:t>Bosnia</w:t>
        </w:r>
      </w:hyperlink>
      <w:r w:rsidRPr="00112CFF">
        <w:rPr>
          <w:rFonts w:cstheme="minorHAnsi"/>
          <w:sz w:val="24"/>
          <w:shd w:val="clear" w:color="auto" w:fill="F8F9FA"/>
        </w:rPr>
        <w:t>. Le conferme: il passaggio alla </w:t>
      </w:r>
      <w:hyperlink r:id="rId58" w:tooltip="Impero russo" w:history="1">
        <w:r w:rsidRPr="00112CFF">
          <w:rPr>
            <w:rStyle w:val="Collegamentoipertestuale"/>
            <w:rFonts w:cstheme="minorHAnsi"/>
            <w:color w:val="auto"/>
            <w:sz w:val="24"/>
            <w:u w:val="none"/>
            <w:shd w:val="clear" w:color="auto" w:fill="F8F9FA"/>
          </w:rPr>
          <w:t>Russia</w:t>
        </w:r>
      </w:hyperlink>
      <w:r>
        <w:rPr>
          <w:rFonts w:cstheme="minorHAnsi"/>
          <w:sz w:val="24"/>
        </w:rPr>
        <w:t xml:space="preserve"> </w:t>
      </w:r>
      <w:r w:rsidRPr="00112CFF">
        <w:rPr>
          <w:rFonts w:cstheme="minorHAnsi"/>
          <w:sz w:val="24"/>
          <w:shd w:val="clear" w:color="auto" w:fill="F8F9FA"/>
        </w:rPr>
        <w:t>della </w:t>
      </w:r>
      <w:hyperlink r:id="rId59" w:tooltip="Bessarabia" w:history="1">
        <w:r w:rsidRPr="00112CFF">
          <w:rPr>
            <w:rStyle w:val="Collegamentoipertestuale"/>
            <w:rFonts w:cstheme="minorHAnsi"/>
            <w:color w:val="auto"/>
            <w:sz w:val="24"/>
            <w:u w:val="none"/>
            <w:shd w:val="clear" w:color="auto" w:fill="F8F9FA"/>
          </w:rPr>
          <w:t>Bessarabia</w:t>
        </w:r>
      </w:hyperlink>
      <w:r w:rsidRPr="00112CFF">
        <w:rPr>
          <w:rFonts w:cstheme="minorHAnsi"/>
          <w:sz w:val="24"/>
          <w:shd w:val="clear" w:color="auto" w:fill="F8F9FA"/>
        </w:rPr>
        <w:t> meridionale e l'</w:t>
      </w:r>
      <w:hyperlink r:id="rId60" w:tooltip="Indipendenza" w:history="1">
        <w:r w:rsidRPr="00112CFF">
          <w:rPr>
            <w:rStyle w:val="Collegamentoipertestuale"/>
            <w:rFonts w:cstheme="minorHAnsi"/>
            <w:color w:val="auto"/>
            <w:sz w:val="24"/>
            <w:u w:val="none"/>
            <w:shd w:val="clear" w:color="auto" w:fill="F8F9FA"/>
          </w:rPr>
          <w:t>indipendenza</w:t>
        </w:r>
      </w:hyperlink>
      <w:r w:rsidRPr="00112CFF">
        <w:rPr>
          <w:rFonts w:cstheme="minorHAnsi"/>
          <w:sz w:val="24"/>
          <w:shd w:val="clear" w:color="auto" w:fill="F8F9FA"/>
        </w:rPr>
        <w:t> di </w:t>
      </w:r>
      <w:hyperlink r:id="rId61" w:tooltip="Montenegro" w:history="1">
        <w:r w:rsidRPr="00112CFF">
          <w:rPr>
            <w:rStyle w:val="Collegamentoipertestuale"/>
            <w:rFonts w:cstheme="minorHAnsi"/>
            <w:color w:val="auto"/>
            <w:sz w:val="24"/>
            <w:u w:val="none"/>
            <w:shd w:val="clear" w:color="auto" w:fill="F8F9FA"/>
          </w:rPr>
          <w:t>Montenegro</w:t>
        </w:r>
      </w:hyperlink>
      <w:r w:rsidRPr="00112CFF">
        <w:rPr>
          <w:rFonts w:cstheme="minorHAnsi"/>
          <w:sz w:val="24"/>
          <w:shd w:val="clear" w:color="auto" w:fill="F8F9FA"/>
        </w:rPr>
        <w:t>, </w:t>
      </w:r>
      <w:hyperlink r:id="rId62" w:tooltip="Principato di Serbia" w:history="1">
        <w:r w:rsidRPr="00112CFF">
          <w:rPr>
            <w:rStyle w:val="Collegamentoipertestuale"/>
            <w:rFonts w:cstheme="minorHAnsi"/>
            <w:color w:val="auto"/>
            <w:sz w:val="24"/>
            <w:u w:val="none"/>
            <w:shd w:val="clear" w:color="auto" w:fill="F8F9FA"/>
          </w:rPr>
          <w:t>Serbia</w:t>
        </w:r>
      </w:hyperlink>
      <w:r w:rsidRPr="00112CFF">
        <w:rPr>
          <w:rFonts w:cstheme="minorHAnsi"/>
          <w:sz w:val="24"/>
          <w:shd w:val="clear" w:color="auto" w:fill="F8F9FA"/>
        </w:rPr>
        <w:t> (</w:t>
      </w:r>
      <w:r w:rsidRPr="00112CFF">
        <w:rPr>
          <w:rFonts w:cstheme="minorHAnsi"/>
          <w:i/>
          <w:iCs/>
          <w:sz w:val="24"/>
          <w:shd w:val="clear" w:color="auto" w:fill="F8F9FA"/>
        </w:rPr>
        <w:t>Servia</w:t>
      </w:r>
      <w:r w:rsidRPr="00112CFF">
        <w:rPr>
          <w:rFonts w:cstheme="minorHAnsi"/>
          <w:sz w:val="24"/>
          <w:shd w:val="clear" w:color="auto" w:fill="F8F9FA"/>
        </w:rPr>
        <w:t>) e </w:t>
      </w:r>
      <w:hyperlink r:id="rId63" w:tooltip="Regno di Romania" w:history="1">
        <w:r w:rsidRPr="00112CFF">
          <w:rPr>
            <w:rStyle w:val="Collegamentoipertestuale"/>
            <w:rFonts w:cstheme="minorHAnsi"/>
            <w:color w:val="auto"/>
            <w:sz w:val="24"/>
            <w:u w:val="none"/>
            <w:shd w:val="clear" w:color="auto" w:fill="F8F9FA"/>
          </w:rPr>
          <w:t>Romania</w:t>
        </w:r>
      </w:hyperlink>
      <w:r w:rsidRPr="00112CFF">
        <w:rPr>
          <w:rFonts w:cstheme="minorHAnsi"/>
          <w:sz w:val="24"/>
          <w:shd w:val="clear" w:color="auto" w:fill="F8F9FA"/>
        </w:rPr>
        <w:t> (</w:t>
      </w:r>
      <w:r w:rsidRPr="00112CFF">
        <w:rPr>
          <w:rFonts w:cstheme="minorHAnsi"/>
          <w:i/>
          <w:iCs/>
          <w:sz w:val="24"/>
          <w:shd w:val="clear" w:color="auto" w:fill="F8F9FA"/>
        </w:rPr>
        <w:t>Roumania</w:t>
      </w:r>
      <w:r w:rsidRPr="00112CFF">
        <w:rPr>
          <w:rFonts w:cstheme="minorHAnsi"/>
          <w:sz w:val="24"/>
          <w:shd w:val="clear" w:color="auto" w:fill="F8F9FA"/>
        </w:rPr>
        <w:t>).</w:t>
      </w:r>
    </w:p>
  </w:footnote>
  <w:footnote w:id="13">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w:t>
      </w:r>
      <w:r w:rsidRPr="00112CFF">
        <w:rPr>
          <w:rFonts w:cstheme="minorHAnsi"/>
          <w:sz w:val="24"/>
          <w:shd w:val="clear" w:color="auto" w:fill="F8F9FA"/>
        </w:rPr>
        <w:t>Lo zemskij sobor in un dipinto di </w:t>
      </w:r>
      <w:hyperlink r:id="rId64" w:tooltip="Sergej Vasil'evič Ivanov (pittore)" w:history="1">
        <w:r w:rsidRPr="00112CFF">
          <w:rPr>
            <w:rStyle w:val="Collegamentoipertestuale"/>
            <w:rFonts w:cstheme="minorHAnsi"/>
            <w:color w:val="auto"/>
            <w:sz w:val="24"/>
            <w:u w:val="none"/>
            <w:shd w:val="clear" w:color="auto" w:fill="F8F9FA"/>
          </w:rPr>
          <w:t>Sergej Ivanov</w:t>
        </w:r>
      </w:hyperlink>
    </w:p>
  </w:footnote>
  <w:footnote w:id="14">
    <w:p w:rsidR="000B2651" w:rsidRDefault="000B2651" w:rsidP="007F3A37">
      <w:pPr>
        <w:pStyle w:val="Testonotaapidipagina"/>
        <w:jc w:val="both"/>
      </w:pPr>
      <w:r w:rsidRPr="00112CFF">
        <w:rPr>
          <w:rStyle w:val="Rimandonotaapidipagina"/>
          <w:sz w:val="24"/>
        </w:rPr>
        <w:footnoteRef/>
      </w:r>
      <w:r w:rsidRPr="00112CFF">
        <w:rPr>
          <w:sz w:val="24"/>
        </w:rPr>
        <w:t>Michail Loris-Melikov</w:t>
      </w:r>
    </w:p>
  </w:footnote>
  <w:footnote w:id="15">
    <w:p w:rsidR="000B2651" w:rsidRPr="00920107" w:rsidRDefault="000B2651" w:rsidP="007F3A37">
      <w:pPr>
        <w:pStyle w:val="Testonotaapidipagina"/>
        <w:jc w:val="both"/>
        <w:rPr>
          <w:rFonts w:cstheme="minorHAnsi"/>
        </w:rPr>
      </w:pPr>
      <w:r w:rsidRPr="00112CFF">
        <w:rPr>
          <w:rStyle w:val="Rimandonotaapidipagina"/>
          <w:sz w:val="24"/>
        </w:rPr>
        <w:footnoteRef/>
      </w:r>
      <w:r w:rsidRPr="00112CFF">
        <w:rPr>
          <w:sz w:val="24"/>
        </w:rPr>
        <w:t xml:space="preserve"> </w:t>
      </w:r>
      <w:r w:rsidRPr="00112CFF">
        <w:rPr>
          <w:rFonts w:ascii="Arial" w:hAnsi="Arial" w:cs="Arial"/>
          <w:color w:val="222222"/>
          <w:sz w:val="22"/>
          <w:szCs w:val="18"/>
          <w:shd w:val="clear" w:color="auto" w:fill="FFFFFF"/>
        </w:rPr>
        <w:t> </w:t>
      </w:r>
      <w:r w:rsidRPr="00112CFF">
        <w:rPr>
          <w:rFonts w:cstheme="minorHAnsi"/>
          <w:sz w:val="24"/>
          <w:shd w:val="clear" w:color="auto" w:fill="FFFFFF"/>
        </w:rPr>
        <w:t>Nei giorni successivi alla tragedia, il comportamento negligente delle autorità imperiali causò una grande indignazione all'interno della Russia e </w:t>
      </w:r>
      <w:hyperlink r:id="rId65" w:tooltip="Konstantin Bal'mont" w:history="1">
        <w:r w:rsidRPr="00112CFF">
          <w:rPr>
            <w:rStyle w:val="Collegamentoipertestuale"/>
            <w:rFonts w:cstheme="minorHAnsi"/>
            <w:color w:val="auto"/>
            <w:sz w:val="24"/>
            <w:u w:val="none"/>
            <w:shd w:val="clear" w:color="auto" w:fill="FFFFFF"/>
          </w:rPr>
          <w:t>Konstantin Bal'mont</w:t>
        </w:r>
      </w:hyperlink>
      <w:r w:rsidRPr="00112CFF">
        <w:rPr>
          <w:rFonts w:cstheme="minorHAnsi"/>
          <w:sz w:val="24"/>
          <w:shd w:val="clear" w:color="auto" w:fill="FFFFFF"/>
        </w:rPr>
        <w:t> ebbe a scrivere nel 1905 che "Chi inizia il proprio regno con la Chodynka lo finirà erigendosi il </w:t>
      </w:r>
      <w:hyperlink r:id="rId66" w:tooltip="Patibolo" w:history="1">
        <w:r w:rsidRPr="00112CFF">
          <w:rPr>
            <w:rStyle w:val="Collegamentoipertestuale"/>
            <w:rFonts w:cstheme="minorHAnsi"/>
            <w:color w:val="auto"/>
            <w:sz w:val="24"/>
            <w:u w:val="none"/>
            <w:shd w:val="clear" w:color="auto" w:fill="FFFFFF"/>
          </w:rPr>
          <w:t>patibolo</w:t>
        </w:r>
      </w:hyperlink>
      <w:r w:rsidRPr="00112CFF">
        <w:rPr>
          <w:rFonts w:cstheme="minorHAnsi"/>
          <w:sz w:val="24"/>
          <w:shd w:val="clear" w:color="auto" w:fill="FFFFFF"/>
        </w:rPr>
        <w:t>". Tale profezia si realizzò nel 1918, tredici anni più tardi (anche se non in senso prettamente letterale).</w:t>
      </w:r>
    </w:p>
  </w:footnote>
  <w:footnote w:id="16">
    <w:p w:rsidR="000B2651" w:rsidRDefault="000B2651" w:rsidP="007F3A37">
      <w:pPr>
        <w:pStyle w:val="Testonotaapidipagina"/>
        <w:jc w:val="both"/>
      </w:pPr>
      <w:r w:rsidRPr="00112CFF">
        <w:rPr>
          <w:rStyle w:val="Rimandonotaapidipagina"/>
          <w:sz w:val="24"/>
        </w:rPr>
        <w:footnoteRef/>
      </w:r>
      <w:r w:rsidRPr="00112CFF">
        <w:rPr>
          <w:sz w:val="24"/>
        </w:rPr>
        <w:t xml:space="preserve"> Nikolaj Bobrikov assassinato in Finlandia nel 1904</w:t>
      </w:r>
    </w:p>
  </w:footnote>
  <w:footnote w:id="17">
    <w:p w:rsidR="000B2651" w:rsidRPr="00E433AC" w:rsidRDefault="000B2651" w:rsidP="007F3A37">
      <w:pPr>
        <w:pStyle w:val="Testonotaapidipagina"/>
        <w:jc w:val="both"/>
        <w:rPr>
          <w:rFonts w:cstheme="minorHAnsi"/>
          <w:sz w:val="28"/>
        </w:rPr>
      </w:pPr>
      <w:r w:rsidRPr="00112CFF">
        <w:rPr>
          <w:rStyle w:val="Rimandonotaapidipagina"/>
          <w:sz w:val="24"/>
        </w:rPr>
        <w:footnoteRef/>
      </w:r>
      <w:r w:rsidRPr="00112CFF">
        <w:rPr>
          <w:sz w:val="24"/>
        </w:rPr>
        <w:t xml:space="preserve"> </w:t>
      </w:r>
      <w:r w:rsidRPr="00112CFF">
        <w:rPr>
          <w:rFonts w:cstheme="minorHAnsi"/>
          <w:color w:val="222222"/>
          <w:sz w:val="24"/>
          <w:szCs w:val="15"/>
          <w:shd w:val="clear" w:color="auto" w:fill="F8F9FA"/>
        </w:rPr>
        <w:t>Il gruppo dirigente dell'</w:t>
      </w:r>
      <w:r w:rsidRPr="00112CFF">
        <w:rPr>
          <w:rFonts w:cstheme="minorHAnsi"/>
          <w:i/>
          <w:iCs/>
          <w:color w:val="222222"/>
          <w:sz w:val="24"/>
          <w:szCs w:val="15"/>
          <w:shd w:val="clear" w:color="auto" w:fill="F8F9FA"/>
        </w:rPr>
        <w:t>Unione di lotta per l'emancipazione della classe operaia</w:t>
      </w:r>
      <w:r w:rsidRPr="00112CFF">
        <w:rPr>
          <w:rFonts w:cstheme="minorHAnsi"/>
          <w:color w:val="222222"/>
          <w:sz w:val="24"/>
          <w:szCs w:val="15"/>
          <w:shd w:val="clear" w:color="auto" w:fill="F8F9FA"/>
        </w:rPr>
        <w:t>: da sinistra, V. V. Starkov, G. M. Kržižanovskij, A. L. Mal'čenko, Lenin, P. K. Zaporožec, J. Martov e A. A. Vaneev</w:t>
      </w:r>
    </w:p>
  </w:footnote>
  <w:footnote w:id="18">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Petr Stolypin</w:t>
      </w:r>
    </w:p>
  </w:footnote>
  <w:footnote w:id="19">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Rappresentazione della guerra russo-giapponese</w:t>
      </w:r>
    </w:p>
  </w:footnote>
  <w:footnote w:id="20">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Pavel Miljukov</w:t>
      </w:r>
    </w:p>
  </w:footnote>
  <w:footnote w:id="21">
    <w:p w:rsidR="000B2651" w:rsidRDefault="000B2651" w:rsidP="007F3A37">
      <w:pPr>
        <w:pStyle w:val="Testonotaapidipagina"/>
        <w:jc w:val="both"/>
      </w:pPr>
      <w:r w:rsidRPr="00112CFF">
        <w:rPr>
          <w:rStyle w:val="Rimandonotaapidipagina"/>
          <w:sz w:val="24"/>
        </w:rPr>
        <w:footnoteRef/>
      </w:r>
      <w:r w:rsidRPr="00112CFF">
        <w:rPr>
          <w:sz w:val="24"/>
        </w:rPr>
        <w:t xml:space="preserve">I luoghi della battaglia russo-giapponese: la </w:t>
      </w:r>
      <w:r w:rsidRPr="00112CFF">
        <w:rPr>
          <w:rFonts w:cstheme="minorHAnsi"/>
          <w:sz w:val="24"/>
          <w:shd w:val="clear" w:color="auto" w:fill="F8F9FA"/>
        </w:rPr>
        <w:t>Grande Manciuria. La Manciuria Russa è la regione in alto a destra in rosso chiaro; la </w:t>
      </w:r>
      <w:hyperlink r:id="rId67" w:tooltip="Penisola di Liaodong" w:history="1">
        <w:r w:rsidRPr="00112CFF">
          <w:rPr>
            <w:rStyle w:val="Collegamentoipertestuale"/>
            <w:rFonts w:cstheme="minorHAnsi"/>
            <w:color w:val="auto"/>
            <w:sz w:val="24"/>
            <w:u w:val="none"/>
            <w:shd w:val="clear" w:color="auto" w:fill="F8F9FA"/>
          </w:rPr>
          <w:t>penisola di Liaodong</w:t>
        </w:r>
      </w:hyperlink>
      <w:r w:rsidRPr="00112CFF">
        <w:rPr>
          <w:rFonts w:cstheme="minorHAnsi"/>
          <w:sz w:val="24"/>
        </w:rPr>
        <w:t xml:space="preserve"> </w:t>
      </w:r>
      <w:r w:rsidRPr="00112CFF">
        <w:rPr>
          <w:rFonts w:cstheme="minorHAnsi"/>
          <w:sz w:val="24"/>
          <w:shd w:val="clear" w:color="auto" w:fill="F8F9FA"/>
        </w:rPr>
        <w:t>è il braccio di terra che si estende nel </w:t>
      </w:r>
      <w:hyperlink r:id="rId68" w:tooltip="Mar Giallo" w:history="1">
        <w:r w:rsidRPr="00112CFF">
          <w:rPr>
            <w:rStyle w:val="Collegamentoipertestuale"/>
            <w:rFonts w:cstheme="minorHAnsi"/>
            <w:color w:val="auto"/>
            <w:sz w:val="24"/>
            <w:u w:val="none"/>
            <w:shd w:val="clear" w:color="auto" w:fill="F8F9FA"/>
          </w:rPr>
          <w:t>Mar Giallo</w:t>
        </w:r>
      </w:hyperlink>
      <w:r w:rsidRPr="00112CFF">
        <w:rPr>
          <w:rFonts w:cstheme="minorHAnsi"/>
          <w:sz w:val="24"/>
          <w:shd w:val="clear" w:color="auto" w:fill="F8F9FA"/>
        </w:rPr>
        <w:t>.</w:t>
      </w:r>
    </w:p>
  </w:footnote>
  <w:footnote w:id="22">
    <w:p w:rsidR="000B2651" w:rsidRDefault="000B2651" w:rsidP="007F3A37">
      <w:pPr>
        <w:pStyle w:val="Testonotaapidipagina"/>
        <w:jc w:val="both"/>
      </w:pPr>
      <w:r w:rsidRPr="00112CFF">
        <w:rPr>
          <w:rStyle w:val="Rimandonotaapidipagina"/>
          <w:sz w:val="24"/>
        </w:rPr>
        <w:footnoteRef/>
      </w:r>
      <w:r w:rsidRPr="00112CFF">
        <w:rPr>
          <w:sz w:val="24"/>
        </w:rPr>
        <w:t xml:space="preserve"> La parte collegante Mosca a Celjabinsk fu completata solo nel 1916. La linea era di 9288 km. La linea fu completata in 12 anni. La ferrovia è così grande che da Mosca a Vladivostok ci sono 7 ore di fuso orario</w:t>
      </w:r>
    </w:p>
  </w:footnote>
  <w:footnote w:id="23">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szCs w:val="20"/>
        </w:rPr>
      </w:pPr>
      <w:r w:rsidRPr="00112CFF">
        <w:rPr>
          <w:rStyle w:val="Rimandonotaapidipagina"/>
          <w:rFonts w:asciiTheme="minorHAnsi" w:hAnsiTheme="minorHAnsi" w:cstheme="minorHAnsi"/>
          <w:szCs w:val="20"/>
        </w:rPr>
        <w:footnoteRef/>
      </w:r>
      <w:r w:rsidRPr="00112CFF">
        <w:rPr>
          <w:rFonts w:asciiTheme="minorHAnsi" w:hAnsiTheme="minorHAnsi" w:cstheme="minorHAnsi"/>
          <w:szCs w:val="20"/>
        </w:rPr>
        <w:t xml:space="preserve"> Con </w:t>
      </w:r>
      <w:r w:rsidRPr="00112CFF">
        <w:rPr>
          <w:rFonts w:asciiTheme="minorHAnsi" w:hAnsiTheme="minorHAnsi" w:cstheme="minorHAnsi"/>
          <w:b/>
          <w:bCs/>
          <w:szCs w:val="20"/>
        </w:rPr>
        <w:t>domenica di sangue</w:t>
      </w:r>
      <w:r w:rsidRPr="00112CFF">
        <w:rPr>
          <w:rFonts w:asciiTheme="minorHAnsi" w:hAnsiTheme="minorHAnsi" w:cstheme="minorHAnsi"/>
          <w:szCs w:val="20"/>
        </w:rPr>
        <w:t>, in </w:t>
      </w:r>
      <w:hyperlink r:id="rId69" w:tooltip="Lingua russa" w:history="1">
        <w:r w:rsidRPr="00112CFF">
          <w:rPr>
            <w:rStyle w:val="Collegamentoipertestuale"/>
            <w:rFonts w:asciiTheme="minorHAnsi" w:hAnsiTheme="minorHAnsi" w:cstheme="minorHAnsi"/>
            <w:color w:val="auto"/>
            <w:szCs w:val="20"/>
            <w:u w:val="none"/>
          </w:rPr>
          <w:t>russo</w:t>
        </w:r>
      </w:hyperlink>
      <w:r w:rsidRPr="00112CFF">
        <w:rPr>
          <w:rFonts w:asciiTheme="minorHAnsi" w:hAnsiTheme="minorHAnsi" w:cstheme="minorHAnsi"/>
          <w:szCs w:val="20"/>
        </w:rPr>
        <w:t>: </w:t>
      </w:r>
      <w:r w:rsidRPr="00112CFF">
        <w:rPr>
          <w:rFonts w:asciiTheme="minorHAnsi" w:hAnsiTheme="minorHAnsi" w:cstheme="minorHAnsi"/>
          <w:szCs w:val="20"/>
          <w:lang w:val="ru-RU"/>
        </w:rPr>
        <w:t>Кровавое воскресенье</w:t>
      </w:r>
      <w:hyperlink r:id="rId70" w:anchor="Sistema_di_scrittura" w:tooltip="Lingua russa" w:history="1">
        <w:r w:rsidRPr="00112CFF">
          <w:rPr>
            <w:rStyle w:val="Collegamentoipertestuale"/>
            <w:rFonts w:asciiTheme="minorHAnsi" w:hAnsiTheme="minorHAnsi" w:cstheme="minorHAnsi"/>
            <w:b/>
            <w:bCs/>
            <w:color w:val="auto"/>
            <w:szCs w:val="20"/>
            <w:u w:val="none"/>
            <w:vertAlign w:val="superscript"/>
          </w:rPr>
          <w:t>?</w:t>
        </w:r>
      </w:hyperlink>
      <w:r w:rsidRPr="00112CFF">
        <w:rPr>
          <w:rFonts w:asciiTheme="minorHAnsi" w:hAnsiTheme="minorHAnsi" w:cstheme="minorHAnsi"/>
          <w:szCs w:val="20"/>
        </w:rPr>
        <w:t>, si è soliti indicare l'eccidio compiuto a </w:t>
      </w:r>
      <w:hyperlink r:id="rId71" w:tooltip="San Pietroburgo" w:history="1">
        <w:r w:rsidRPr="00112CFF">
          <w:rPr>
            <w:rStyle w:val="Collegamentoipertestuale"/>
            <w:rFonts w:asciiTheme="minorHAnsi" w:hAnsiTheme="minorHAnsi" w:cstheme="minorHAnsi"/>
            <w:color w:val="auto"/>
            <w:szCs w:val="20"/>
            <w:u w:val="none"/>
          </w:rPr>
          <w:t>San Pietroburgo</w:t>
        </w:r>
      </w:hyperlink>
      <w:r w:rsidRPr="00112CFF">
        <w:rPr>
          <w:rFonts w:asciiTheme="minorHAnsi" w:hAnsiTheme="minorHAnsi" w:cstheme="minorHAnsi"/>
          <w:szCs w:val="20"/>
        </w:rPr>
        <w:t> il 22 gennaio </w:t>
      </w:r>
      <w:hyperlink r:id="rId72" w:tooltip="1905" w:history="1">
        <w:r w:rsidRPr="00112CFF">
          <w:rPr>
            <w:rStyle w:val="Collegamentoipertestuale"/>
            <w:rFonts w:asciiTheme="minorHAnsi" w:hAnsiTheme="minorHAnsi" w:cstheme="minorHAnsi"/>
            <w:color w:val="auto"/>
            <w:szCs w:val="20"/>
            <w:u w:val="none"/>
          </w:rPr>
          <w:t>1905</w:t>
        </w:r>
      </w:hyperlink>
      <w:r w:rsidRPr="00112CFF">
        <w:rPr>
          <w:rFonts w:asciiTheme="minorHAnsi" w:hAnsiTheme="minorHAnsi" w:cstheme="minorHAnsi"/>
          <w:szCs w:val="20"/>
        </w:rPr>
        <w:t> (9 gennaio secondo il </w:t>
      </w:r>
      <w:hyperlink r:id="rId73" w:tooltip="Calendario giuliano" w:history="1">
        <w:r w:rsidRPr="00112CFF">
          <w:rPr>
            <w:rStyle w:val="Collegamentoipertestuale"/>
            <w:rFonts w:asciiTheme="minorHAnsi" w:hAnsiTheme="minorHAnsi" w:cstheme="minorHAnsi"/>
            <w:color w:val="auto"/>
            <w:szCs w:val="20"/>
            <w:u w:val="none"/>
          </w:rPr>
          <w:t>calendario giuliano</w:t>
        </w:r>
      </w:hyperlink>
      <w:r w:rsidRPr="00112CFF">
        <w:rPr>
          <w:rFonts w:asciiTheme="minorHAnsi" w:hAnsiTheme="minorHAnsi" w:cstheme="minorHAnsi"/>
          <w:szCs w:val="20"/>
        </w:rPr>
        <w:t>) da reparti dell'esercito e della </w:t>
      </w:r>
      <w:hyperlink r:id="rId74" w:tooltip="Guardia imperiale (Russia)" w:history="1">
        <w:r w:rsidRPr="00112CFF">
          <w:rPr>
            <w:rStyle w:val="Collegamentoipertestuale"/>
            <w:rFonts w:asciiTheme="minorHAnsi" w:hAnsiTheme="minorHAnsi" w:cstheme="minorHAnsi"/>
            <w:color w:val="auto"/>
            <w:szCs w:val="20"/>
            <w:u w:val="none"/>
          </w:rPr>
          <w:t>Guardia imperiale</w:t>
        </w:r>
      </w:hyperlink>
      <w:r w:rsidRPr="00112CFF">
        <w:rPr>
          <w:rFonts w:asciiTheme="minorHAnsi" w:hAnsiTheme="minorHAnsi" w:cstheme="minorHAnsi"/>
          <w:szCs w:val="20"/>
        </w:rPr>
        <w:t> che aprirono il fuoco contro una manifestazione pacifica di dimostranti disarmati diretti al </w:t>
      </w:r>
      <w:hyperlink r:id="rId75" w:tooltip="Palazzo d'Inverno" w:history="1">
        <w:r w:rsidRPr="00112CFF">
          <w:rPr>
            <w:rStyle w:val="Collegamentoipertestuale"/>
            <w:rFonts w:asciiTheme="minorHAnsi" w:hAnsiTheme="minorHAnsi" w:cstheme="minorHAnsi"/>
            <w:color w:val="auto"/>
            <w:szCs w:val="20"/>
            <w:u w:val="none"/>
          </w:rPr>
          <w:t>Palazzo d'Inverno</w:t>
        </w:r>
      </w:hyperlink>
      <w:r w:rsidRPr="00112CFF">
        <w:rPr>
          <w:rFonts w:asciiTheme="minorHAnsi" w:hAnsiTheme="minorHAnsi" w:cstheme="minorHAnsi"/>
          <w:szCs w:val="20"/>
        </w:rPr>
        <w:t> per presentare una supplica allo </w:t>
      </w:r>
      <w:hyperlink r:id="rId76" w:tooltip="Zar" w:history="1">
        <w:r w:rsidRPr="00112CFF">
          <w:rPr>
            <w:rStyle w:val="Collegamentoipertestuale"/>
            <w:rFonts w:asciiTheme="minorHAnsi" w:hAnsiTheme="minorHAnsi" w:cstheme="minorHAnsi"/>
            <w:color w:val="auto"/>
            <w:szCs w:val="20"/>
            <w:u w:val="none"/>
          </w:rPr>
          <w:t>zar</w:t>
        </w:r>
      </w:hyperlink>
      <w:hyperlink r:id="rId77" w:tooltip="Nicola II di Russia" w:history="1">
        <w:r w:rsidRPr="00112CFF">
          <w:rPr>
            <w:rStyle w:val="Collegamentoipertestuale"/>
            <w:rFonts w:asciiTheme="minorHAnsi" w:hAnsiTheme="minorHAnsi" w:cstheme="minorHAnsi"/>
            <w:color w:val="auto"/>
            <w:szCs w:val="20"/>
            <w:u w:val="none"/>
          </w:rPr>
          <w:t>Nicola II</w:t>
        </w:r>
      </w:hyperlink>
      <w:r w:rsidRPr="00112CFF">
        <w:rPr>
          <w:rFonts w:asciiTheme="minorHAnsi" w:hAnsiTheme="minorHAnsi" w:cstheme="minorHAnsi"/>
          <w:szCs w:val="20"/>
        </w:rPr>
        <w:t>.</w:t>
      </w:r>
    </w:p>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szCs w:val="20"/>
        </w:rPr>
      </w:pPr>
      <w:r w:rsidRPr="00112CFF">
        <w:rPr>
          <w:rFonts w:asciiTheme="minorHAnsi" w:hAnsiTheme="minorHAnsi" w:cstheme="minorHAnsi"/>
          <w:szCs w:val="20"/>
        </w:rPr>
        <w:t>La marcia era stata organizzata dal </w:t>
      </w:r>
      <w:hyperlink r:id="rId78" w:tooltip="Georgij Apollonovič Gapon" w:history="1">
        <w:r w:rsidRPr="00112CFF">
          <w:rPr>
            <w:rStyle w:val="Collegamentoipertestuale"/>
            <w:rFonts w:asciiTheme="minorHAnsi" w:hAnsiTheme="minorHAnsi" w:cstheme="minorHAnsi"/>
            <w:color w:val="auto"/>
            <w:szCs w:val="20"/>
            <w:u w:val="none"/>
          </w:rPr>
          <w:t>pope Gapon</w:t>
        </w:r>
      </w:hyperlink>
      <w:r w:rsidRPr="00112CFF">
        <w:rPr>
          <w:rFonts w:asciiTheme="minorHAnsi" w:hAnsiTheme="minorHAnsi" w:cstheme="minorHAnsi"/>
          <w:szCs w:val="20"/>
        </w:rPr>
        <w:t>, che in seguito fu accusato di essere un agente provocatore della </w:t>
      </w:r>
      <w:hyperlink r:id="rId79" w:tooltip="Ochrana" w:history="1">
        <w:r w:rsidRPr="00112CFF">
          <w:rPr>
            <w:rStyle w:val="Collegamentoipertestuale"/>
            <w:rFonts w:asciiTheme="minorHAnsi" w:hAnsiTheme="minorHAnsi" w:cstheme="minorHAnsi"/>
            <w:color w:val="auto"/>
            <w:szCs w:val="20"/>
            <w:u w:val="none"/>
          </w:rPr>
          <w:t>polizia politica zarista</w:t>
        </w:r>
      </w:hyperlink>
      <w:r w:rsidRPr="00112CFF">
        <w:rPr>
          <w:rFonts w:asciiTheme="minorHAnsi" w:hAnsiTheme="minorHAnsi" w:cstheme="minorHAnsi"/>
          <w:szCs w:val="20"/>
        </w:rPr>
        <w:t>. La strage ebbe gravissime conseguenze per il regime, perché minò profondamente la fiducia della popolazione nei confronti dello zar, aprendo la strada alla </w:t>
      </w:r>
      <w:hyperlink r:id="rId80" w:tooltip="Rivoluzione del 1905" w:history="1">
        <w:r w:rsidRPr="00112CFF">
          <w:rPr>
            <w:rStyle w:val="Collegamentoipertestuale"/>
            <w:rFonts w:asciiTheme="minorHAnsi" w:hAnsiTheme="minorHAnsi" w:cstheme="minorHAnsi"/>
            <w:color w:val="auto"/>
            <w:szCs w:val="20"/>
            <w:u w:val="none"/>
          </w:rPr>
          <w:t>rivoluzione del 1905</w:t>
        </w:r>
      </w:hyperlink>
      <w:r w:rsidRPr="00112CFF">
        <w:rPr>
          <w:rFonts w:asciiTheme="minorHAnsi" w:hAnsiTheme="minorHAnsi" w:cstheme="minorHAnsi"/>
          <w:szCs w:val="20"/>
        </w:rPr>
        <w:t>.</w:t>
      </w:r>
    </w:p>
    <w:p w:rsidR="000B2651" w:rsidRDefault="000B2651" w:rsidP="007F3A37">
      <w:pPr>
        <w:pStyle w:val="Testonotaapidipagina"/>
        <w:jc w:val="both"/>
      </w:pPr>
    </w:p>
  </w:footnote>
  <w:footnote w:id="24">
    <w:p w:rsidR="000B2651" w:rsidRPr="00112CFF" w:rsidRDefault="000B2651" w:rsidP="007F3A37">
      <w:pPr>
        <w:pStyle w:val="Testonotaapidipagina"/>
        <w:jc w:val="both"/>
        <w:rPr>
          <w:sz w:val="24"/>
          <w:szCs w:val="24"/>
        </w:rPr>
      </w:pPr>
      <w:r w:rsidRPr="00112CFF">
        <w:rPr>
          <w:rStyle w:val="Rimandonotaapidipagina"/>
          <w:sz w:val="24"/>
          <w:szCs w:val="24"/>
        </w:rPr>
        <w:footnoteRef/>
      </w:r>
      <w:r w:rsidRPr="00112CFF">
        <w:rPr>
          <w:sz w:val="24"/>
          <w:szCs w:val="24"/>
        </w:rPr>
        <w:t xml:space="preserve"> </w:t>
      </w:r>
      <w:hyperlink r:id="rId81" w:tooltip="Vladimir Egorovič Makovskij" w:history="1">
        <w:r w:rsidRPr="00112CFF">
          <w:rPr>
            <w:rStyle w:val="Collegamentoipertestuale"/>
            <w:rFonts w:cstheme="minorHAnsi"/>
            <w:color w:val="auto"/>
            <w:sz w:val="24"/>
            <w:szCs w:val="24"/>
            <w:u w:val="none"/>
            <w:shd w:val="clear" w:color="auto" w:fill="F8F9FA"/>
          </w:rPr>
          <w:t>Vladimir Makovskij</w:t>
        </w:r>
      </w:hyperlink>
      <w:r w:rsidRPr="00112CFF">
        <w:rPr>
          <w:rFonts w:cstheme="minorHAnsi"/>
          <w:sz w:val="24"/>
          <w:szCs w:val="24"/>
          <w:shd w:val="clear" w:color="auto" w:fill="F8F9FA"/>
        </w:rPr>
        <w:t>, </w:t>
      </w:r>
      <w:r w:rsidRPr="00112CFF">
        <w:rPr>
          <w:rFonts w:cstheme="minorHAnsi"/>
          <w:i/>
          <w:iCs/>
          <w:sz w:val="24"/>
          <w:szCs w:val="24"/>
          <w:shd w:val="clear" w:color="auto" w:fill="F8F9FA"/>
        </w:rPr>
        <w:t>Il 9 gennaio 1905 sull'</w:t>
      </w:r>
      <w:hyperlink r:id="rId82" w:history="1">
        <w:r w:rsidRPr="00112CFF">
          <w:rPr>
            <w:rStyle w:val="Collegamentoipertestuale"/>
            <w:rFonts w:cstheme="minorHAnsi"/>
            <w:i/>
            <w:iCs/>
            <w:color w:val="auto"/>
            <w:sz w:val="24"/>
            <w:szCs w:val="24"/>
            <w:u w:val="none"/>
            <w:shd w:val="clear" w:color="auto" w:fill="F8F9FA"/>
          </w:rPr>
          <w:t>isola Vasil'evskij</w:t>
        </w:r>
      </w:hyperlink>
    </w:p>
  </w:footnote>
  <w:footnote w:id="25">
    <w:p w:rsidR="000B2651" w:rsidRPr="00112CFF" w:rsidRDefault="000B2651" w:rsidP="007F3A37">
      <w:pPr>
        <w:pStyle w:val="Testonotaapidipagina"/>
        <w:jc w:val="both"/>
        <w:rPr>
          <w:sz w:val="24"/>
          <w:szCs w:val="24"/>
        </w:rPr>
      </w:pPr>
      <w:r w:rsidRPr="00112CFF">
        <w:rPr>
          <w:rStyle w:val="Rimandonotaapidipagina"/>
          <w:sz w:val="24"/>
          <w:szCs w:val="24"/>
        </w:rPr>
        <w:footnoteRef/>
      </w:r>
      <w:r w:rsidRPr="00112CFF">
        <w:rPr>
          <w:sz w:val="24"/>
          <w:szCs w:val="24"/>
        </w:rPr>
        <w:t xml:space="preserve"> </w:t>
      </w:r>
      <w:hyperlink r:id="rId83" w:tooltip="Ivan Alekseevič Vladimirov (la pagina non esiste)" w:history="1">
        <w:r w:rsidRPr="00112CFF">
          <w:rPr>
            <w:rStyle w:val="Collegamentoipertestuale"/>
            <w:rFonts w:cstheme="minorHAnsi"/>
            <w:color w:val="auto"/>
            <w:sz w:val="24"/>
            <w:szCs w:val="24"/>
            <w:u w:val="none"/>
            <w:shd w:val="clear" w:color="auto" w:fill="F8F9FA"/>
          </w:rPr>
          <w:t>Ivan Vladimirov</w:t>
        </w:r>
      </w:hyperlink>
      <w:r w:rsidRPr="00112CFF">
        <w:rPr>
          <w:rFonts w:cstheme="minorHAnsi"/>
          <w:sz w:val="24"/>
          <w:szCs w:val="24"/>
          <w:shd w:val="clear" w:color="auto" w:fill="F8F9FA"/>
        </w:rPr>
        <w:t>, </w:t>
      </w:r>
      <w:r w:rsidRPr="00112CFF">
        <w:rPr>
          <w:rFonts w:cstheme="minorHAnsi"/>
          <w:i/>
          <w:iCs/>
          <w:sz w:val="24"/>
          <w:szCs w:val="24"/>
          <w:shd w:val="clear" w:color="auto" w:fill="F8F9FA"/>
        </w:rPr>
        <w:t>La Domenica di sangue al Palazzo d'Inverno</w:t>
      </w:r>
    </w:p>
  </w:footnote>
  <w:footnote w:id="26">
    <w:p w:rsidR="000B2651" w:rsidRPr="00112CFF" w:rsidRDefault="000B2651" w:rsidP="007F3A37">
      <w:pPr>
        <w:pStyle w:val="Testonotaapidipagina"/>
        <w:jc w:val="both"/>
        <w:rPr>
          <w:sz w:val="24"/>
        </w:rPr>
      </w:pPr>
      <w:r w:rsidRPr="00112CFF">
        <w:rPr>
          <w:rStyle w:val="Rimandonotaapidipagina"/>
          <w:sz w:val="24"/>
        </w:rPr>
        <w:footnoteRef/>
      </w:r>
      <w:r w:rsidRPr="00112CFF">
        <w:rPr>
          <w:sz w:val="24"/>
        </w:rPr>
        <w:t xml:space="preserve"> Aleksandr Bulygin</w:t>
      </w:r>
    </w:p>
  </w:footnote>
  <w:footnote w:id="27">
    <w:p w:rsidR="000B2651" w:rsidRDefault="000B2651" w:rsidP="007F3A37">
      <w:pPr>
        <w:pStyle w:val="Testonotaapidipagina"/>
        <w:jc w:val="both"/>
      </w:pPr>
      <w:r w:rsidRPr="00112CFF">
        <w:rPr>
          <w:rStyle w:val="Rimandonotaapidipagina"/>
          <w:sz w:val="24"/>
        </w:rPr>
        <w:footnoteRef/>
      </w:r>
      <w:r w:rsidRPr="00112CFF">
        <w:rPr>
          <w:sz w:val="24"/>
        </w:rPr>
        <w:t xml:space="preserve"> </w:t>
      </w:r>
      <w:r w:rsidRPr="00112CFF">
        <w:rPr>
          <w:rFonts w:cstheme="minorHAnsi"/>
          <w:sz w:val="24"/>
          <w:szCs w:val="22"/>
          <w:shd w:val="clear" w:color="auto" w:fill="FFFFFF"/>
        </w:rPr>
        <w:t>La corazzata </w:t>
      </w:r>
      <w:r w:rsidRPr="00112CFF">
        <w:rPr>
          <w:rFonts w:cstheme="minorHAnsi"/>
          <w:i/>
          <w:iCs/>
          <w:sz w:val="24"/>
          <w:szCs w:val="22"/>
          <w:shd w:val="clear" w:color="auto" w:fill="FFFFFF"/>
        </w:rPr>
        <w:t>Mikasa</w:t>
      </w:r>
      <w:r w:rsidRPr="00112CFF">
        <w:rPr>
          <w:rFonts w:cstheme="minorHAnsi"/>
          <w:sz w:val="24"/>
          <w:szCs w:val="22"/>
          <w:shd w:val="clear" w:color="auto" w:fill="FFFFFF"/>
        </w:rPr>
        <w:t>, ammiraglia dell'ammiraglio Togo alla battaglia di Tsushima</w:t>
      </w:r>
    </w:p>
  </w:footnote>
  <w:footnote w:id="28">
    <w:p w:rsidR="000B2651" w:rsidRPr="00026E9A" w:rsidRDefault="000B2651" w:rsidP="007F3A37">
      <w:pPr>
        <w:pStyle w:val="Testonotaapidipagina"/>
        <w:jc w:val="both"/>
        <w:rPr>
          <w:rFonts w:cstheme="minorHAnsi"/>
        </w:rPr>
      </w:pPr>
      <w:r w:rsidRPr="00112CFF">
        <w:rPr>
          <w:rStyle w:val="Rimandonotaapidipagina"/>
          <w:rFonts w:cstheme="minorHAnsi"/>
          <w:sz w:val="24"/>
        </w:rPr>
        <w:footnoteRef/>
      </w:r>
      <w:r w:rsidRPr="00112CFF">
        <w:rPr>
          <w:rFonts w:cstheme="minorHAnsi"/>
          <w:sz w:val="24"/>
        </w:rPr>
        <w:t xml:space="preserve"> </w:t>
      </w:r>
      <w:r w:rsidRPr="00112CFF">
        <w:rPr>
          <w:rFonts w:cstheme="minorHAnsi"/>
          <w:sz w:val="24"/>
          <w:shd w:val="clear" w:color="auto" w:fill="FFFFFF"/>
        </w:rPr>
        <w:t>Il termine </w:t>
      </w:r>
      <w:r w:rsidRPr="00112CFF">
        <w:rPr>
          <w:rFonts w:cstheme="minorHAnsi"/>
          <w:b/>
          <w:bCs/>
          <w:sz w:val="24"/>
          <w:shd w:val="clear" w:color="auto" w:fill="FFFFFF"/>
        </w:rPr>
        <w:t>Soviet</w:t>
      </w:r>
      <w:r w:rsidRPr="00112CFF">
        <w:rPr>
          <w:rFonts w:cstheme="minorHAnsi"/>
          <w:sz w:val="24"/>
          <w:shd w:val="clear" w:color="auto" w:fill="FFFFFF"/>
        </w:rPr>
        <w:t> (in </w:t>
      </w:r>
      <w:hyperlink r:id="rId84" w:tooltip="Lingua russa" w:history="1">
        <w:r w:rsidRPr="00112CFF">
          <w:rPr>
            <w:rStyle w:val="Collegamentoipertestuale"/>
            <w:rFonts w:cstheme="minorHAnsi"/>
            <w:color w:val="auto"/>
            <w:sz w:val="24"/>
            <w:u w:val="none"/>
            <w:shd w:val="clear" w:color="auto" w:fill="FFFFFF"/>
          </w:rPr>
          <w:t>russo</w:t>
        </w:r>
      </w:hyperlink>
      <w:r w:rsidRPr="00112CFF">
        <w:rPr>
          <w:rFonts w:cstheme="minorHAnsi"/>
          <w:sz w:val="24"/>
          <w:shd w:val="clear" w:color="auto" w:fill="FFFFFF"/>
        </w:rPr>
        <w:t>: </w:t>
      </w:r>
      <w:r w:rsidRPr="00112CFF">
        <w:rPr>
          <w:rFonts w:cstheme="minorHAnsi"/>
          <w:sz w:val="24"/>
          <w:shd w:val="clear" w:color="auto" w:fill="FFFFFF"/>
          <w:lang w:val="ru-RU"/>
        </w:rPr>
        <w:t>Совет</w:t>
      </w:r>
      <w:hyperlink r:id="rId85" w:anchor="Sistema_di_scrittura" w:tooltip="Lingua russa" w:history="1">
        <w:r w:rsidRPr="00112CFF">
          <w:rPr>
            <w:rStyle w:val="Collegamentoipertestuale"/>
            <w:rFonts w:cstheme="minorHAnsi"/>
            <w:b/>
            <w:bCs/>
            <w:color w:val="auto"/>
            <w:sz w:val="24"/>
            <w:u w:val="none"/>
            <w:shd w:val="clear" w:color="auto" w:fill="FFFFFF"/>
            <w:vertAlign w:val="superscript"/>
          </w:rPr>
          <w:t>?</w:t>
        </w:r>
      </w:hyperlink>
      <w:r w:rsidRPr="00112CFF">
        <w:rPr>
          <w:rFonts w:cstheme="minorHAnsi"/>
          <w:sz w:val="24"/>
          <w:shd w:val="clear" w:color="auto" w:fill="FFFFFF"/>
        </w:rPr>
        <w:t>, </w:t>
      </w:r>
      <w:hyperlink r:id="rId86" w:anchor="ISO.2FR_9:1968" w:tooltip="ISO 9" w:history="1">
        <w:r w:rsidRPr="00112CFF">
          <w:rPr>
            <w:rStyle w:val="Collegamentoipertestuale"/>
            <w:rFonts w:cstheme="minorHAnsi"/>
            <w:color w:val="auto"/>
            <w:sz w:val="24"/>
            <w:u w:val="none"/>
            <w:shd w:val="clear" w:color="auto" w:fill="FFFFFF"/>
          </w:rPr>
          <w:t>traslitterato</w:t>
        </w:r>
      </w:hyperlink>
      <w:r w:rsidRPr="00112CFF">
        <w:rPr>
          <w:rFonts w:cstheme="minorHAnsi"/>
          <w:sz w:val="24"/>
          <w:shd w:val="clear" w:color="auto" w:fill="FFFFFF"/>
        </w:rPr>
        <w:t>: </w:t>
      </w:r>
      <w:r w:rsidRPr="00112CFF">
        <w:rPr>
          <w:rFonts w:cstheme="minorHAnsi"/>
          <w:i/>
          <w:iCs/>
          <w:sz w:val="24"/>
          <w:shd w:val="clear" w:color="auto" w:fill="FFFFFF"/>
          <w:lang w:val="ru-RU"/>
        </w:rPr>
        <w:t>Sovet</w:t>
      </w:r>
      <w:r w:rsidRPr="00112CFF">
        <w:rPr>
          <w:rFonts w:cstheme="minorHAnsi"/>
          <w:sz w:val="24"/>
          <w:shd w:val="clear" w:color="auto" w:fill="FFFFFF"/>
        </w:rPr>
        <w:t> </w:t>
      </w:r>
      <w:r>
        <w:rPr>
          <w:rStyle w:val="unicode"/>
          <w:rFonts w:cstheme="minorHAnsi"/>
          <w:sz w:val="24"/>
          <w:shd w:val="clear" w:color="auto" w:fill="FFFFFF"/>
        </w:rPr>
        <w:t>,</w:t>
      </w:r>
      <w:r w:rsidRPr="00112CFF">
        <w:rPr>
          <w:rFonts w:cstheme="minorHAnsi"/>
          <w:sz w:val="24"/>
          <w:shd w:val="clear" w:color="auto" w:fill="FFFFFF"/>
        </w:rPr>
        <w:t xml:space="preserve"> lett. "Consiglio") indica forme di organizzazione politica finalizzate alla conquista e alla gestione del potere, a livello centrale e a livello locale, da parte della classe operaia e dei lavoratori. I Soviet nacquero nell'</w:t>
      </w:r>
      <w:hyperlink r:id="rId87" w:tooltip="Impero Russo" w:history="1">
        <w:r w:rsidRPr="00112CFF">
          <w:rPr>
            <w:rStyle w:val="Collegamentoipertestuale"/>
            <w:rFonts w:cstheme="minorHAnsi"/>
            <w:color w:val="auto"/>
            <w:sz w:val="24"/>
            <w:u w:val="none"/>
            <w:shd w:val="clear" w:color="auto" w:fill="FFFFFF"/>
          </w:rPr>
          <w:t>Impero Russo</w:t>
        </w:r>
      </w:hyperlink>
      <w:r w:rsidRPr="00112CFF">
        <w:rPr>
          <w:rFonts w:cstheme="minorHAnsi"/>
          <w:sz w:val="24"/>
          <w:shd w:val="clear" w:color="auto" w:fill="FFFFFF"/>
        </w:rPr>
        <w:t> all'inizio del </w:t>
      </w:r>
      <w:hyperlink r:id="rId88" w:tooltip="XX secolo" w:history="1">
        <w:r w:rsidRPr="00112CFF">
          <w:rPr>
            <w:rStyle w:val="Collegamentoipertestuale"/>
            <w:rFonts w:cstheme="minorHAnsi"/>
            <w:color w:val="auto"/>
            <w:sz w:val="24"/>
            <w:u w:val="none"/>
            <w:shd w:val="clear" w:color="auto" w:fill="FFFFFF"/>
          </w:rPr>
          <w:t>XX secolo</w:t>
        </w:r>
      </w:hyperlink>
      <w:r w:rsidRPr="00112CFF">
        <w:rPr>
          <w:rFonts w:cstheme="minorHAnsi"/>
          <w:sz w:val="24"/>
          <w:shd w:val="clear" w:color="auto" w:fill="FFFFFF"/>
        </w:rPr>
        <w:t> e divennero fondamento costituzionale dello stato socialista dapprima nella </w:t>
      </w:r>
      <w:hyperlink r:id="rId89" w:tooltip="RSFS Russa" w:history="1">
        <w:r w:rsidRPr="00112CFF">
          <w:rPr>
            <w:rStyle w:val="Collegamentoipertestuale"/>
            <w:rFonts w:cstheme="minorHAnsi"/>
            <w:color w:val="auto"/>
            <w:sz w:val="24"/>
            <w:u w:val="none"/>
            <w:shd w:val="clear" w:color="auto" w:fill="FFFFFF"/>
          </w:rPr>
          <w:t>RSFS Russa</w:t>
        </w:r>
      </w:hyperlink>
      <w:r w:rsidRPr="00112CFF">
        <w:rPr>
          <w:rFonts w:cstheme="minorHAnsi"/>
          <w:sz w:val="24"/>
          <w:shd w:val="clear" w:color="auto" w:fill="FFFFFF"/>
        </w:rPr>
        <w:t> e poi in </w:t>
      </w:r>
      <w:hyperlink r:id="rId90" w:tooltip="Unione Sovietica" w:history="1">
        <w:r w:rsidRPr="00112CFF">
          <w:rPr>
            <w:rStyle w:val="Collegamentoipertestuale"/>
            <w:rFonts w:cstheme="minorHAnsi"/>
            <w:color w:val="auto"/>
            <w:sz w:val="24"/>
            <w:u w:val="none"/>
            <w:shd w:val="clear" w:color="auto" w:fill="FFFFFF"/>
          </w:rPr>
          <w:t>Unione Sovietica</w:t>
        </w:r>
      </w:hyperlink>
      <w:r w:rsidRPr="00112CFF">
        <w:rPr>
          <w:rFonts w:cstheme="minorHAnsi"/>
          <w:sz w:val="24"/>
          <w:shd w:val="clear" w:color="auto" w:fill="FFFFFF"/>
        </w:rPr>
        <w:t>. Analoghe strutture, sull'esempio russo e sovietico, si svilupparono successivamente anche in altri Paesi.</w:t>
      </w:r>
    </w:p>
  </w:footnote>
  <w:footnote w:id="29">
    <w:p w:rsidR="000B2651" w:rsidRPr="00112CFF" w:rsidRDefault="000B2651" w:rsidP="007F3A37">
      <w:pPr>
        <w:pStyle w:val="NormaleWeb"/>
        <w:shd w:val="clear" w:color="auto" w:fill="FFFFFF"/>
        <w:spacing w:before="120" w:beforeAutospacing="0" w:after="120" w:afterAutospacing="0"/>
        <w:jc w:val="both"/>
        <w:rPr>
          <w:rFonts w:asciiTheme="minorHAnsi" w:hAnsiTheme="minorHAnsi" w:cstheme="minorHAnsi"/>
          <w:szCs w:val="20"/>
        </w:rPr>
      </w:pPr>
      <w:r w:rsidRPr="00112CFF">
        <w:rPr>
          <w:rStyle w:val="Rimandonotaapidipagina"/>
          <w:rFonts w:asciiTheme="minorHAnsi" w:hAnsiTheme="minorHAnsi" w:cstheme="minorHAnsi"/>
          <w:szCs w:val="20"/>
        </w:rPr>
        <w:footnoteRef/>
      </w:r>
      <w:r w:rsidRPr="00112CFF">
        <w:rPr>
          <w:rFonts w:asciiTheme="minorHAnsi" w:hAnsiTheme="minorHAnsi" w:cstheme="minorHAnsi"/>
          <w:szCs w:val="20"/>
        </w:rPr>
        <w:t xml:space="preserve"> </w:t>
      </w:r>
      <w:r w:rsidRPr="00112CFF">
        <w:rPr>
          <w:rFonts w:asciiTheme="minorHAnsi" w:hAnsiTheme="minorHAnsi" w:cstheme="minorHAnsi"/>
          <w:b/>
          <w:bCs/>
          <w:szCs w:val="20"/>
        </w:rPr>
        <w:t>Pogrom</w:t>
      </w:r>
      <w:r w:rsidRPr="00112CFF">
        <w:rPr>
          <w:rFonts w:asciiTheme="minorHAnsi" w:hAnsiTheme="minorHAnsi" w:cstheme="minorHAnsi"/>
          <w:szCs w:val="20"/>
        </w:rPr>
        <w:t> è un termine storico di derivazione </w:t>
      </w:r>
      <w:hyperlink r:id="rId91" w:tooltip="Russia" w:history="1">
        <w:r w:rsidRPr="00112CFF">
          <w:rPr>
            <w:rStyle w:val="Collegamentoipertestuale"/>
            <w:rFonts w:asciiTheme="minorHAnsi" w:hAnsiTheme="minorHAnsi" w:cstheme="minorHAnsi"/>
            <w:color w:val="auto"/>
            <w:szCs w:val="20"/>
            <w:u w:val="none"/>
          </w:rPr>
          <w:t>russa</w:t>
        </w:r>
      </w:hyperlink>
      <w:r w:rsidRPr="00112CFF">
        <w:rPr>
          <w:rFonts w:asciiTheme="minorHAnsi" w:hAnsiTheme="minorHAnsi" w:cstheme="minorHAnsi"/>
          <w:szCs w:val="20"/>
        </w:rPr>
        <w:t> (</w:t>
      </w:r>
      <w:r w:rsidRPr="00112CFF">
        <w:rPr>
          <w:rFonts w:asciiTheme="minorHAnsi" w:hAnsiTheme="minorHAnsi" w:cstheme="minorHAnsi"/>
          <w:i/>
          <w:iCs/>
          <w:szCs w:val="20"/>
        </w:rPr>
        <w:t>погром</w:t>
      </w:r>
      <w:r w:rsidRPr="00112CFF">
        <w:rPr>
          <w:rFonts w:asciiTheme="minorHAnsi" w:hAnsiTheme="minorHAnsi" w:cstheme="minorHAnsi"/>
          <w:szCs w:val="20"/>
        </w:rPr>
        <w:t>, pronuncia: </w:t>
      </w:r>
      <w:hyperlink r:id="rId92" w:tooltip="Aiuto:IPA" w:history="1">
        <w:r w:rsidRPr="00112CFF">
          <w:rPr>
            <w:rStyle w:val="ipa"/>
            <w:rFonts w:asciiTheme="minorHAnsi" w:hAnsiTheme="minorHAnsi" w:cstheme="minorHAnsi"/>
            <w:szCs w:val="20"/>
          </w:rPr>
          <w:t>/pɐ'grom/</w:t>
        </w:r>
      </w:hyperlink>
      <w:r w:rsidRPr="00112CFF">
        <w:rPr>
          <w:rFonts w:asciiTheme="minorHAnsi" w:hAnsiTheme="minorHAnsi" w:cstheme="minorHAnsi"/>
          <w:szCs w:val="20"/>
        </w:rPr>
        <w:t>, che significa letteralmente «devastazione»), con cui vengono indicate le sommosse popolari </w:t>
      </w:r>
      <w:hyperlink r:id="rId93" w:tooltip="Antisemitismo" w:history="1">
        <w:r w:rsidRPr="00112CFF">
          <w:rPr>
            <w:rStyle w:val="Collegamentoipertestuale"/>
            <w:rFonts w:asciiTheme="minorHAnsi" w:hAnsiTheme="minorHAnsi" w:cstheme="minorHAnsi"/>
            <w:color w:val="auto"/>
            <w:szCs w:val="20"/>
            <w:u w:val="none"/>
          </w:rPr>
          <w:t>antisemite</w:t>
        </w:r>
      </w:hyperlink>
      <w:r w:rsidRPr="00112CFF">
        <w:rPr>
          <w:rFonts w:asciiTheme="minorHAnsi" w:hAnsiTheme="minorHAnsi" w:cstheme="minorHAnsi"/>
          <w:szCs w:val="20"/>
        </w:rPr>
        <w:t>, e i conseguenti massacri e saccheggi, avvenute nel corso della storia </w:t>
      </w:r>
      <w:hyperlink r:id="rId94" w:tooltip="Russia" w:history="1">
        <w:r w:rsidRPr="00112CFF">
          <w:rPr>
            <w:rStyle w:val="Collegamentoipertestuale"/>
            <w:rFonts w:asciiTheme="minorHAnsi" w:hAnsiTheme="minorHAnsi" w:cstheme="minorHAnsi"/>
            <w:color w:val="auto"/>
            <w:szCs w:val="20"/>
            <w:u w:val="none"/>
          </w:rPr>
          <w:t>russa</w:t>
        </w:r>
      </w:hyperlink>
      <w:r w:rsidRPr="00112CFF">
        <w:rPr>
          <w:rFonts w:asciiTheme="minorHAnsi" w:hAnsiTheme="minorHAnsi" w:cstheme="minorHAnsi"/>
          <w:szCs w:val="20"/>
        </w:rPr>
        <w:t>. In particolare, il periodo caldo dei pogrom è il quarantennio compreso tra il </w:t>
      </w:r>
      <w:hyperlink r:id="rId95" w:tooltip="1881" w:history="1">
        <w:r w:rsidRPr="00112CFF">
          <w:rPr>
            <w:rStyle w:val="Collegamentoipertestuale"/>
            <w:rFonts w:asciiTheme="minorHAnsi" w:hAnsiTheme="minorHAnsi" w:cstheme="minorHAnsi"/>
            <w:color w:val="auto"/>
            <w:szCs w:val="20"/>
            <w:u w:val="none"/>
          </w:rPr>
          <w:t>1881</w:t>
        </w:r>
      </w:hyperlink>
      <w:r w:rsidRPr="00112CFF">
        <w:rPr>
          <w:rFonts w:asciiTheme="minorHAnsi" w:hAnsiTheme="minorHAnsi" w:cstheme="minorHAnsi"/>
          <w:szCs w:val="20"/>
        </w:rPr>
        <w:t> e il </w:t>
      </w:r>
      <w:hyperlink r:id="rId96" w:tooltip="1921" w:history="1">
        <w:r w:rsidRPr="00112CFF">
          <w:rPr>
            <w:rStyle w:val="Collegamentoipertestuale"/>
            <w:rFonts w:asciiTheme="minorHAnsi" w:hAnsiTheme="minorHAnsi" w:cstheme="minorHAnsi"/>
            <w:color w:val="auto"/>
            <w:szCs w:val="20"/>
            <w:u w:val="none"/>
          </w:rPr>
          <w:t>1921</w:t>
        </w:r>
      </w:hyperlink>
      <w:r w:rsidRPr="00112CFF">
        <w:rPr>
          <w:rFonts w:asciiTheme="minorHAnsi" w:hAnsiTheme="minorHAnsi" w:cstheme="minorHAnsi"/>
          <w:szCs w:val="20"/>
        </w:rPr>
        <w:t>, con il consenso – se non con l'appoggio – delle autorità. In senso più ampio, il termine viene utilizzato in riferimento a tutti gli episodi di violenza, danno materiale e spesso strage, contro gli </w:t>
      </w:r>
      <w:hyperlink r:id="rId97" w:tooltip="Ebrei" w:history="1">
        <w:r w:rsidRPr="00112CFF">
          <w:rPr>
            <w:rStyle w:val="Collegamentoipertestuale"/>
            <w:rFonts w:asciiTheme="minorHAnsi" w:hAnsiTheme="minorHAnsi" w:cstheme="minorHAnsi"/>
            <w:color w:val="auto"/>
            <w:szCs w:val="20"/>
            <w:u w:val="none"/>
          </w:rPr>
          <w:t>Ebrei</w:t>
        </w:r>
      </w:hyperlink>
      <w:r w:rsidRPr="00112CFF">
        <w:rPr>
          <w:rFonts w:asciiTheme="minorHAnsi" w:hAnsiTheme="minorHAnsi" w:cstheme="minorHAnsi"/>
          <w:szCs w:val="20"/>
        </w:rPr>
        <w:t> lungo la storia.</w:t>
      </w:r>
    </w:p>
  </w:footnote>
  <w:footnote w:id="30">
    <w:p w:rsidR="000B2651" w:rsidRDefault="000B2651" w:rsidP="007F3A37">
      <w:pPr>
        <w:pStyle w:val="Testonotaapidipagina"/>
        <w:jc w:val="both"/>
      </w:pPr>
      <w:r w:rsidRPr="00112CFF">
        <w:rPr>
          <w:rStyle w:val="Rimandonotaapidipagina"/>
          <w:sz w:val="24"/>
        </w:rPr>
        <w:footnoteRef/>
      </w:r>
      <w:r w:rsidRPr="00112CFF">
        <w:rPr>
          <w:sz w:val="24"/>
        </w:rPr>
        <w:t xml:space="preserve"> Le Centurie nere con una foto anche di Nicola II</w:t>
      </w:r>
    </w:p>
  </w:footnote>
  <w:footnote w:id="31">
    <w:p w:rsidR="000B2651" w:rsidRDefault="000B2651" w:rsidP="007F3A37">
      <w:pPr>
        <w:pStyle w:val="Testonotaapidipagina"/>
        <w:jc w:val="both"/>
      </w:pPr>
      <w:r w:rsidRPr="00112CFF">
        <w:rPr>
          <w:rStyle w:val="Rimandonotaapidipagina"/>
          <w:sz w:val="24"/>
        </w:rPr>
        <w:footnoteRef/>
      </w:r>
      <w:r w:rsidRPr="00112CFF">
        <w:rPr>
          <w:sz w:val="24"/>
        </w:rPr>
        <w:t xml:space="preserve"> Nati dalla rottura con gli Sr. Erano un partito moderato del lavoro</w:t>
      </w:r>
    </w:p>
  </w:footnote>
  <w:footnote w:id="32">
    <w:p w:rsidR="000B2651" w:rsidRPr="00112CFF" w:rsidRDefault="000B2651" w:rsidP="007F3A37">
      <w:pPr>
        <w:pStyle w:val="Testonotaapidipagina"/>
        <w:jc w:val="both"/>
        <w:rPr>
          <w:sz w:val="24"/>
        </w:rPr>
      </w:pPr>
      <w:r>
        <w:rPr>
          <w:rStyle w:val="Rimandonotaapidipagina"/>
        </w:rPr>
        <w:footnoteRef/>
      </w:r>
      <w:r>
        <w:t xml:space="preserve"> </w:t>
      </w:r>
      <w:r w:rsidRPr="00112CFF">
        <w:rPr>
          <w:sz w:val="24"/>
        </w:rPr>
        <w:t>Ivan Goremykin</w:t>
      </w:r>
    </w:p>
  </w:footnote>
  <w:footnote w:id="33">
    <w:p w:rsidR="000B2651" w:rsidRPr="002C21E1" w:rsidRDefault="000B2651" w:rsidP="007F3A37">
      <w:pPr>
        <w:pStyle w:val="Testonotaapidipagina"/>
        <w:jc w:val="both"/>
        <w:rPr>
          <w:rFonts w:cstheme="minorHAnsi"/>
        </w:rPr>
      </w:pPr>
      <w:r w:rsidRPr="00112CFF">
        <w:rPr>
          <w:rStyle w:val="Rimandonotaapidipagina"/>
          <w:rFonts w:cstheme="minorHAnsi"/>
          <w:sz w:val="24"/>
        </w:rPr>
        <w:footnoteRef/>
      </w:r>
      <w:r w:rsidRPr="00112CFF">
        <w:rPr>
          <w:rFonts w:cstheme="minorHAnsi"/>
          <w:sz w:val="24"/>
        </w:rPr>
        <w:t xml:space="preserve"> </w:t>
      </w:r>
      <w:r w:rsidRPr="00112CFF">
        <w:rPr>
          <w:rFonts w:cstheme="minorHAnsi"/>
          <w:sz w:val="24"/>
          <w:shd w:val="clear" w:color="auto" w:fill="FFFFFF"/>
        </w:rPr>
        <w:t>Nel </w:t>
      </w:r>
      <w:hyperlink r:id="rId98" w:tooltip="XIX secolo" w:history="1">
        <w:r w:rsidRPr="00112CFF">
          <w:rPr>
            <w:rStyle w:val="Collegamentoipertestuale"/>
            <w:rFonts w:cstheme="minorHAnsi"/>
            <w:color w:val="auto"/>
            <w:sz w:val="24"/>
            <w:u w:val="none"/>
            <w:shd w:val="clear" w:color="auto" w:fill="FFFFFF"/>
          </w:rPr>
          <w:t>XIX secolo</w:t>
        </w:r>
      </w:hyperlink>
      <w:r w:rsidRPr="00112CFF">
        <w:rPr>
          <w:rFonts w:cstheme="minorHAnsi"/>
          <w:sz w:val="24"/>
          <w:shd w:val="clear" w:color="auto" w:fill="FFFFFF"/>
        </w:rPr>
        <w:t> il palazzo fu restaurato da </w:t>
      </w:r>
      <w:hyperlink r:id="rId99" w:tooltip="Carlo Rossi (architetto)" w:history="1">
        <w:r w:rsidRPr="00112CFF">
          <w:rPr>
            <w:rStyle w:val="Collegamentoipertestuale"/>
            <w:rFonts w:cstheme="minorHAnsi"/>
            <w:color w:val="auto"/>
            <w:sz w:val="24"/>
            <w:u w:val="none"/>
            <w:shd w:val="clear" w:color="auto" w:fill="FFFFFF"/>
          </w:rPr>
          <w:t>Carlo Rossi</w:t>
        </w:r>
      </w:hyperlink>
      <w:r w:rsidRPr="00112CFF">
        <w:rPr>
          <w:rFonts w:cstheme="minorHAnsi"/>
          <w:sz w:val="24"/>
          <w:shd w:val="clear" w:color="auto" w:fill="FFFFFF"/>
        </w:rPr>
        <w:t> e da </w:t>
      </w:r>
      <w:hyperlink r:id="rId100" w:tooltip="Vasilij Petrovič Stasov" w:history="1">
        <w:r w:rsidRPr="00112CFF">
          <w:rPr>
            <w:rStyle w:val="Collegamentoipertestuale"/>
            <w:rFonts w:cstheme="minorHAnsi"/>
            <w:color w:val="auto"/>
            <w:sz w:val="24"/>
            <w:u w:val="none"/>
            <w:shd w:val="clear" w:color="auto" w:fill="FFFFFF"/>
          </w:rPr>
          <w:t>Vasilij Petrovič Stasov</w:t>
        </w:r>
      </w:hyperlink>
      <w:r w:rsidRPr="00112CFF">
        <w:rPr>
          <w:rFonts w:cstheme="minorHAnsi"/>
          <w:sz w:val="24"/>
          <w:shd w:val="clear" w:color="auto" w:fill="FFFFFF"/>
        </w:rPr>
        <w:t> come residenza per membri secondari della famiglia imperiale e fu impiegato per ospitare balli e feste fino al 1906, quando venne trasformato nella sede del primo Parlamento russo, la </w:t>
      </w:r>
      <w:hyperlink r:id="rId101" w:tooltip="Duma" w:history="1">
        <w:r w:rsidRPr="00112CFF">
          <w:rPr>
            <w:rStyle w:val="Collegamentoipertestuale"/>
            <w:rFonts w:cstheme="minorHAnsi"/>
            <w:color w:val="auto"/>
            <w:sz w:val="24"/>
            <w:u w:val="none"/>
            <w:shd w:val="clear" w:color="auto" w:fill="FFFFFF"/>
          </w:rPr>
          <w:t>Duma</w:t>
        </w:r>
      </w:hyperlink>
      <w:r w:rsidRPr="00112CFF">
        <w:rPr>
          <w:rFonts w:cstheme="minorHAnsi"/>
          <w:sz w:val="24"/>
          <w:shd w:val="clear" w:color="auto" w:fill="FFFFFF"/>
        </w:rPr>
        <w:t> Imperiale di Stato. Subito dopo la </w:t>
      </w:r>
      <w:hyperlink r:id="rId102" w:tooltip="Rivoluzione di Febbraio" w:history="1">
        <w:r w:rsidRPr="00112CFF">
          <w:rPr>
            <w:rStyle w:val="Collegamentoipertestuale"/>
            <w:rFonts w:cstheme="minorHAnsi"/>
            <w:color w:val="auto"/>
            <w:sz w:val="24"/>
            <w:u w:val="none"/>
            <w:shd w:val="clear" w:color="auto" w:fill="FFFFFF"/>
          </w:rPr>
          <w:t>Rivoluzione di Febbraio</w:t>
        </w:r>
      </w:hyperlink>
      <w:r w:rsidRPr="00112CFF">
        <w:rPr>
          <w:rFonts w:cstheme="minorHAnsi"/>
          <w:sz w:val="24"/>
          <w:shd w:val="clear" w:color="auto" w:fill="FFFFFF"/>
        </w:rPr>
        <w:t> del </w:t>
      </w:r>
      <w:hyperlink r:id="rId103" w:tooltip="1917" w:history="1">
        <w:r w:rsidRPr="00112CFF">
          <w:rPr>
            <w:rStyle w:val="Collegamentoipertestuale"/>
            <w:rFonts w:cstheme="minorHAnsi"/>
            <w:color w:val="auto"/>
            <w:sz w:val="24"/>
            <w:u w:val="none"/>
            <w:shd w:val="clear" w:color="auto" w:fill="FFFFFF"/>
          </w:rPr>
          <w:t>1917</w:t>
        </w:r>
      </w:hyperlink>
      <w:r w:rsidRPr="00112CFF">
        <w:rPr>
          <w:rFonts w:cstheme="minorHAnsi"/>
          <w:sz w:val="24"/>
          <w:shd w:val="clear" w:color="auto" w:fill="FFFFFF"/>
        </w:rPr>
        <w:t>, il palazzo di Tauride alloggiò il </w:t>
      </w:r>
      <w:hyperlink r:id="rId104" w:tooltip="Governo Provvisorio Russo" w:history="1">
        <w:r w:rsidRPr="00112CFF">
          <w:rPr>
            <w:rStyle w:val="Collegamentoipertestuale"/>
            <w:rFonts w:cstheme="minorHAnsi"/>
            <w:color w:val="auto"/>
            <w:sz w:val="24"/>
            <w:u w:val="none"/>
            <w:shd w:val="clear" w:color="auto" w:fill="FFFFFF"/>
          </w:rPr>
          <w:t>Governo Provvisorio Russo</w:t>
        </w:r>
      </w:hyperlink>
      <w:r w:rsidRPr="00112CFF">
        <w:rPr>
          <w:rFonts w:cstheme="minorHAnsi"/>
          <w:sz w:val="24"/>
          <w:shd w:val="clear" w:color="auto" w:fill="FFFFFF"/>
        </w:rPr>
        <w:t> ed il </w:t>
      </w:r>
      <w:hyperlink r:id="rId105" w:tooltip="Soviet di Pietroburgo (la pagina non esiste)" w:history="1">
        <w:r w:rsidRPr="00112CFF">
          <w:rPr>
            <w:rStyle w:val="Collegamentoipertestuale"/>
            <w:rFonts w:cstheme="minorHAnsi"/>
            <w:color w:val="auto"/>
            <w:sz w:val="24"/>
            <w:u w:val="none"/>
            <w:shd w:val="clear" w:color="auto" w:fill="FFFFFF"/>
          </w:rPr>
          <w:t>Soviet di Pietroburgo</w:t>
        </w:r>
      </w:hyperlink>
      <w:r w:rsidRPr="00112CFF">
        <w:rPr>
          <w:rFonts w:cstheme="minorHAnsi"/>
          <w:sz w:val="24"/>
          <w:shd w:val="clear" w:color="auto" w:fill="FFFFFF"/>
        </w:rPr>
        <w:t> ed in seguito l'abortita </w:t>
      </w:r>
      <w:hyperlink r:id="rId106" w:tooltip="Assemblea Costituente Russa" w:history="1">
        <w:r w:rsidRPr="00112CFF">
          <w:rPr>
            <w:rStyle w:val="Collegamentoipertestuale"/>
            <w:rFonts w:cstheme="minorHAnsi"/>
            <w:color w:val="auto"/>
            <w:sz w:val="24"/>
            <w:u w:val="none"/>
            <w:shd w:val="clear" w:color="auto" w:fill="FFFFFF"/>
          </w:rPr>
          <w:t>Assemblea Costituente Russa</w:t>
        </w:r>
      </w:hyperlink>
      <w:r w:rsidRPr="00112CFF">
        <w:rPr>
          <w:rFonts w:cstheme="minorHAnsi"/>
          <w:sz w:val="24"/>
          <w:shd w:val="clear" w:color="auto" w:fill="FFFFFF"/>
        </w:rPr>
        <w:t>, fino a quando nel maggio del 1918 i </w:t>
      </w:r>
      <w:hyperlink r:id="rId107" w:tooltip="Bolscevichi" w:history="1">
        <w:r w:rsidRPr="00112CFF">
          <w:rPr>
            <w:rStyle w:val="Collegamentoipertestuale"/>
            <w:rFonts w:cstheme="minorHAnsi"/>
            <w:color w:val="auto"/>
            <w:sz w:val="24"/>
            <w:u w:val="none"/>
            <w:shd w:val="clear" w:color="auto" w:fill="FFFFFF"/>
          </w:rPr>
          <w:t>bolscevichi</w:t>
        </w:r>
      </w:hyperlink>
      <w:r w:rsidRPr="00112CFF">
        <w:rPr>
          <w:rFonts w:cstheme="minorHAnsi"/>
          <w:sz w:val="24"/>
          <w:shd w:val="clear" w:color="auto" w:fill="FFFFFF"/>
        </w:rPr>
        <w:t> vi tennero il loro settimo congresso, in cui presero il nome di </w:t>
      </w:r>
      <w:hyperlink r:id="rId108" w:history="1">
        <w:r w:rsidRPr="00112CFF">
          <w:rPr>
            <w:rStyle w:val="Collegamentoipertestuale"/>
            <w:rFonts w:cstheme="minorHAnsi"/>
            <w:color w:val="auto"/>
            <w:sz w:val="24"/>
            <w:u w:val="none"/>
            <w:shd w:val="clear" w:color="auto" w:fill="FFFFFF"/>
          </w:rPr>
          <w:t>Partito Comunista dell'Unione Sovietica</w:t>
        </w:r>
      </w:hyperlink>
      <w:r w:rsidRPr="00112CFF">
        <w:rPr>
          <w:rFonts w:cstheme="minorHAnsi"/>
          <w:sz w:val="24"/>
          <w:shd w:val="clear" w:color="auto" w:fill="FFFFFF"/>
        </w:rPr>
        <w:t>.</w:t>
      </w:r>
    </w:p>
  </w:footnote>
  <w:footnote w:id="34">
    <w:p w:rsidR="000B2651" w:rsidRPr="00112CFF" w:rsidRDefault="000B2651" w:rsidP="007F3A37">
      <w:pPr>
        <w:pStyle w:val="Testonotaapidipagina"/>
        <w:jc w:val="both"/>
      </w:pPr>
      <w:r w:rsidRPr="00112CFF">
        <w:rPr>
          <w:rStyle w:val="Rimandonotaapidipagina"/>
          <w:sz w:val="24"/>
        </w:rPr>
        <w:footnoteRef/>
      </w:r>
      <w:r w:rsidRPr="00112CFF">
        <w:rPr>
          <w:sz w:val="24"/>
        </w:rPr>
        <w:t xml:space="preserve"> </w:t>
      </w:r>
      <w:r w:rsidRPr="00112CFF">
        <w:rPr>
          <w:rFonts w:cstheme="minorHAnsi"/>
          <w:i/>
          <w:iCs/>
          <w:sz w:val="24"/>
          <w:shd w:val="clear" w:color="auto" w:fill="F8F9FA"/>
        </w:rPr>
        <w:t>Il Bolscevico</w:t>
      </w:r>
      <w:r w:rsidRPr="00112CFF">
        <w:rPr>
          <w:rFonts w:cstheme="minorHAnsi"/>
          <w:sz w:val="24"/>
          <w:shd w:val="clear" w:color="auto" w:fill="F8F9FA"/>
        </w:rPr>
        <w:t>, dipinto di </w:t>
      </w:r>
      <w:hyperlink r:id="rId109" w:tooltip="Boris Kustodiev" w:history="1">
        <w:r w:rsidRPr="00112CFF">
          <w:rPr>
            <w:rStyle w:val="Collegamentoipertestuale"/>
            <w:rFonts w:cstheme="minorHAnsi"/>
            <w:color w:val="auto"/>
            <w:sz w:val="24"/>
            <w:u w:val="none"/>
            <w:shd w:val="clear" w:color="auto" w:fill="F8F9FA"/>
          </w:rPr>
          <w:t>Boris Kustodiev</w:t>
        </w:r>
      </w:hyperlink>
      <w:r w:rsidRPr="00112CFF">
        <w:rPr>
          <w:rFonts w:cstheme="minorHAnsi"/>
          <w:sz w:val="24"/>
          <w:shd w:val="clear" w:color="auto" w:fill="F8F9FA"/>
        </w:rPr>
        <w:t> (1920, </w:t>
      </w:r>
      <w:hyperlink r:id="rId110" w:tooltip="Galleria Tret'jakov" w:history="1">
        <w:r w:rsidRPr="00112CFF">
          <w:rPr>
            <w:rStyle w:val="Collegamentoipertestuale"/>
            <w:rFonts w:cstheme="minorHAnsi"/>
            <w:color w:val="auto"/>
            <w:sz w:val="24"/>
            <w:u w:val="none"/>
            <w:shd w:val="clear" w:color="auto" w:fill="F8F9FA"/>
          </w:rPr>
          <w:t>Galleria Tret'jakov</w:t>
        </w:r>
      </w:hyperlink>
      <w:r w:rsidRPr="00112CFF">
        <w:rPr>
          <w:rFonts w:cstheme="minorHAnsi"/>
          <w:sz w:val="24"/>
          <w:shd w:val="clear" w:color="auto" w:fill="F8F9FA"/>
        </w:rPr>
        <w:t>)</w:t>
      </w:r>
    </w:p>
  </w:footnote>
  <w:footnote w:id="35">
    <w:p w:rsidR="000B2651" w:rsidRDefault="000B2651" w:rsidP="007F3A37">
      <w:pPr>
        <w:pStyle w:val="Testonotaapidipagina"/>
        <w:jc w:val="both"/>
      </w:pPr>
      <w:r w:rsidRPr="00112CFF">
        <w:rPr>
          <w:rStyle w:val="Rimandonotaapidipagina"/>
          <w:sz w:val="24"/>
        </w:rPr>
        <w:footnoteRef/>
      </w:r>
      <w:r w:rsidRPr="00112CFF">
        <w:rPr>
          <w:sz w:val="24"/>
        </w:rPr>
        <w:t xml:space="preserve"> Si trova sulle Colline del Roztoczw polacche a sud-est d Varsavia e a pochi chilometri da Leopoli in Ucraina</w:t>
      </w:r>
    </w:p>
  </w:footnote>
  <w:footnote w:id="36">
    <w:p w:rsidR="000B2651" w:rsidRPr="00112CFF" w:rsidRDefault="000B2651" w:rsidP="007F3A37">
      <w:pPr>
        <w:pStyle w:val="Testonotaapidipagina"/>
        <w:jc w:val="both"/>
        <w:rPr>
          <w:sz w:val="24"/>
          <w:szCs w:val="24"/>
        </w:rPr>
      </w:pPr>
      <w:r w:rsidRPr="00112CFF">
        <w:rPr>
          <w:rStyle w:val="Rimandonotaapidipagina"/>
          <w:sz w:val="24"/>
          <w:szCs w:val="24"/>
        </w:rPr>
        <w:footnoteRef/>
      </w:r>
      <w:r w:rsidRPr="00112CFF">
        <w:rPr>
          <w:sz w:val="24"/>
          <w:szCs w:val="24"/>
        </w:rPr>
        <w:t>N</w:t>
      </w:r>
      <w:r w:rsidRPr="00112CFF">
        <w:rPr>
          <w:rFonts w:cstheme="minorHAnsi"/>
          <w:sz w:val="24"/>
          <w:szCs w:val="24"/>
          <w:shd w:val="clear" w:color="auto" w:fill="FFFFFF"/>
        </w:rPr>
        <w:t>icola II coltivò l'idea di stabilire una dittatura militare, affidandone la responsabilità allo zio </w:t>
      </w:r>
      <w:hyperlink r:id="rId111" w:tooltip="Nikolaj Nikolaevič Romanov (1856-1929)" w:history="1">
        <w:r w:rsidRPr="00112CFF">
          <w:rPr>
            <w:rStyle w:val="Collegamentoipertestuale"/>
            <w:rFonts w:cstheme="minorHAnsi"/>
            <w:color w:val="auto"/>
            <w:sz w:val="24"/>
            <w:szCs w:val="24"/>
            <w:u w:val="none"/>
            <w:shd w:val="clear" w:color="auto" w:fill="FFFFFF"/>
          </w:rPr>
          <w:t>Nikolaj</w:t>
        </w:r>
      </w:hyperlink>
      <w:r w:rsidRPr="00112CFF">
        <w:rPr>
          <w:rFonts w:cstheme="minorHAnsi"/>
          <w:sz w:val="24"/>
          <w:szCs w:val="24"/>
          <w:shd w:val="clear" w:color="auto" w:fill="FFFFFF"/>
        </w:rPr>
        <w:t>. Al rifiuto di questi, il 30 ottobre (17 ottobre vecchio stile) si rassegnò a firmare il manifesto preparato da Vitte. Il proclama conteneva tre promesse essenziali: 1. La concessione delle libertà fondamentali, ossia l'inviolabilità della persona e le libertà di coscienza, di parola, di riunione e di associazione; 2. La partecipazione alle elezioni della Duma delle « classi della popolazione attualmente private di ogni diritto elettorale », in attesa di una prossima legge che stabilisse il principio del suffragio universale; 3. « Stabilire come regola immutabile che nessuna legge potrà entrare in vigore senza l'approvazione della Duma di Stato » (Fonte Wikipedia)</w:t>
      </w:r>
    </w:p>
  </w:footnote>
  <w:footnote w:id="37">
    <w:p w:rsidR="000B2651" w:rsidRPr="00D37D71" w:rsidRDefault="000B2651" w:rsidP="007F3A37">
      <w:pPr>
        <w:pStyle w:val="Testonotaapidipagina"/>
        <w:jc w:val="both"/>
        <w:rPr>
          <w:rFonts w:cstheme="minorHAnsi"/>
          <w:sz w:val="24"/>
          <w:szCs w:val="24"/>
        </w:rPr>
      </w:pPr>
      <w:r w:rsidRPr="00D37D71">
        <w:rPr>
          <w:rStyle w:val="Rimandonotaapidipagina"/>
          <w:rFonts w:cstheme="minorHAnsi"/>
          <w:sz w:val="24"/>
          <w:szCs w:val="24"/>
        </w:rPr>
        <w:footnoteRef/>
      </w:r>
      <w:r w:rsidRPr="00D37D71">
        <w:rPr>
          <w:rFonts w:cstheme="minorHAnsi"/>
          <w:sz w:val="24"/>
          <w:szCs w:val="24"/>
        </w:rPr>
        <w:t xml:space="preserve"> </w:t>
      </w:r>
      <w:r w:rsidRPr="00D37D71">
        <w:rPr>
          <w:rFonts w:cstheme="minorHAnsi"/>
          <w:sz w:val="24"/>
          <w:szCs w:val="24"/>
          <w:shd w:val="clear" w:color="auto" w:fill="F8F9FA"/>
        </w:rPr>
        <w:t>Il principato originario della </w:t>
      </w:r>
      <w:hyperlink r:id="rId112" w:tooltip="Bulgaria" w:history="1">
        <w:r w:rsidRPr="00D37D71">
          <w:rPr>
            <w:rStyle w:val="Collegamentoipertestuale"/>
            <w:rFonts w:cstheme="minorHAnsi"/>
            <w:color w:val="auto"/>
            <w:sz w:val="24"/>
            <w:szCs w:val="24"/>
            <w:u w:val="none"/>
            <w:shd w:val="clear" w:color="auto" w:fill="F8F9FA"/>
          </w:rPr>
          <w:t>Bulgaria</w:t>
        </w:r>
      </w:hyperlink>
      <w:r w:rsidRPr="00D37D71">
        <w:rPr>
          <w:rFonts w:cstheme="minorHAnsi"/>
          <w:sz w:val="24"/>
          <w:szCs w:val="24"/>
          <w:shd w:val="clear" w:color="auto" w:fill="F8F9FA"/>
        </w:rPr>
        <w:t>in arancione scuro, la </w:t>
      </w:r>
      <w:hyperlink r:id="rId113" w:tooltip="Rumelia orientale" w:history="1">
        <w:r w:rsidRPr="00D37D71">
          <w:rPr>
            <w:rStyle w:val="Collegamentoipertestuale"/>
            <w:rFonts w:cstheme="minorHAnsi"/>
            <w:color w:val="auto"/>
            <w:sz w:val="24"/>
            <w:szCs w:val="24"/>
            <w:u w:val="none"/>
            <w:shd w:val="clear" w:color="auto" w:fill="F8F9FA"/>
          </w:rPr>
          <w:t>Rumelia orientale</w:t>
        </w:r>
      </w:hyperlink>
      <w:r w:rsidRPr="00D37D71">
        <w:rPr>
          <w:rFonts w:cstheme="minorHAnsi"/>
          <w:sz w:val="24"/>
          <w:szCs w:val="24"/>
          <w:shd w:val="clear" w:color="auto" w:fill="F8F9FA"/>
        </w:rPr>
        <w:t> in arancione e le zone ancora rivendicate ai turchi in rosa chiaro.</w:t>
      </w:r>
    </w:p>
  </w:footnote>
  <w:footnote w:id="38">
    <w:p w:rsidR="000B2651" w:rsidRPr="00D37D71" w:rsidRDefault="000B2651" w:rsidP="007F3A37">
      <w:pPr>
        <w:pStyle w:val="Testonotaapidipagina"/>
        <w:jc w:val="both"/>
        <w:rPr>
          <w:rFonts w:cstheme="minorHAnsi"/>
          <w:sz w:val="24"/>
          <w:szCs w:val="24"/>
          <w:shd w:val="clear" w:color="auto" w:fill="FFFFFF"/>
        </w:rPr>
      </w:pPr>
      <w:r w:rsidRPr="00D37D71">
        <w:rPr>
          <w:rStyle w:val="Rimandonotaapidipagina"/>
          <w:rFonts w:cstheme="minorHAnsi"/>
          <w:sz w:val="24"/>
          <w:szCs w:val="24"/>
        </w:rPr>
        <w:footnoteRef/>
      </w:r>
      <w:r w:rsidRPr="00D37D71">
        <w:rPr>
          <w:rFonts w:cstheme="minorHAnsi"/>
          <w:sz w:val="24"/>
          <w:szCs w:val="24"/>
        </w:rPr>
        <w:t xml:space="preserve"> </w:t>
      </w:r>
      <w:r w:rsidRPr="00D37D71">
        <w:rPr>
          <w:rFonts w:cstheme="minorHAnsi"/>
          <w:sz w:val="24"/>
          <w:szCs w:val="24"/>
          <w:shd w:val="clear" w:color="auto" w:fill="FFFFFF"/>
        </w:rPr>
        <w:t>Il </w:t>
      </w:r>
      <w:r w:rsidRPr="00D37D71">
        <w:rPr>
          <w:rFonts w:cstheme="minorHAnsi"/>
          <w:b/>
          <w:bCs/>
          <w:sz w:val="24"/>
          <w:szCs w:val="24"/>
          <w:shd w:val="clear" w:color="auto" w:fill="FFFFFF"/>
        </w:rPr>
        <w:t>Trattato di controassicurazione</w:t>
      </w:r>
      <w:r w:rsidRPr="00D37D71">
        <w:rPr>
          <w:rFonts w:cstheme="minorHAnsi"/>
          <w:sz w:val="24"/>
          <w:szCs w:val="24"/>
          <w:shd w:val="clear" w:color="auto" w:fill="FFFFFF"/>
        </w:rPr>
        <w:t> o </w:t>
      </w:r>
      <w:r w:rsidRPr="00D37D71">
        <w:rPr>
          <w:rFonts w:cstheme="minorHAnsi"/>
          <w:b/>
          <w:bCs/>
          <w:sz w:val="24"/>
          <w:szCs w:val="24"/>
          <w:shd w:val="clear" w:color="auto" w:fill="FFFFFF"/>
        </w:rPr>
        <w:t>di riassicurazione</w:t>
      </w:r>
      <w:r w:rsidRPr="00D37D71">
        <w:rPr>
          <w:rFonts w:cstheme="minorHAnsi"/>
          <w:sz w:val="24"/>
          <w:szCs w:val="24"/>
          <w:shd w:val="clear" w:color="auto" w:fill="FFFFFF"/>
        </w:rPr>
        <w:t> (dal tedesco </w:t>
      </w:r>
      <w:r w:rsidRPr="00D37D71">
        <w:rPr>
          <w:rFonts w:cstheme="minorHAnsi"/>
          <w:i/>
          <w:iCs/>
          <w:sz w:val="24"/>
          <w:szCs w:val="24"/>
          <w:shd w:val="clear" w:color="auto" w:fill="FFFFFF"/>
        </w:rPr>
        <w:t>Rückversicherungsvertrag</w:t>
      </w:r>
      <w:r w:rsidRPr="00D37D71">
        <w:rPr>
          <w:rFonts w:cstheme="minorHAnsi"/>
          <w:sz w:val="24"/>
          <w:szCs w:val="24"/>
          <w:shd w:val="clear" w:color="auto" w:fill="FFFFFF"/>
        </w:rPr>
        <w:t>) fu firmato segretamente il 18 giugno </w:t>
      </w:r>
      <w:hyperlink r:id="rId114" w:tooltip="1887" w:history="1">
        <w:r w:rsidRPr="00D37D71">
          <w:rPr>
            <w:rStyle w:val="Collegamentoipertestuale"/>
            <w:rFonts w:cstheme="minorHAnsi"/>
            <w:color w:val="auto"/>
            <w:sz w:val="24"/>
            <w:szCs w:val="24"/>
            <w:u w:val="none"/>
            <w:shd w:val="clear" w:color="auto" w:fill="FFFFFF"/>
          </w:rPr>
          <w:t>1887</w:t>
        </w:r>
      </w:hyperlink>
      <w:r w:rsidRPr="00D37D71">
        <w:rPr>
          <w:rFonts w:cstheme="minorHAnsi"/>
          <w:sz w:val="24"/>
          <w:szCs w:val="24"/>
          <w:shd w:val="clear" w:color="auto" w:fill="FFFFFF"/>
        </w:rPr>
        <w:t> da </w:t>
      </w:r>
      <w:hyperlink r:id="rId115" w:tooltip="Impero tedesco" w:history="1">
        <w:r w:rsidRPr="00D37D71">
          <w:rPr>
            <w:rStyle w:val="Collegamentoipertestuale"/>
            <w:rFonts w:cstheme="minorHAnsi"/>
            <w:color w:val="auto"/>
            <w:sz w:val="24"/>
            <w:szCs w:val="24"/>
            <w:u w:val="none"/>
            <w:shd w:val="clear" w:color="auto" w:fill="FFFFFF"/>
          </w:rPr>
          <w:t>Germania</w:t>
        </w:r>
      </w:hyperlink>
      <w:r w:rsidRPr="00D37D71">
        <w:rPr>
          <w:rFonts w:cstheme="minorHAnsi"/>
          <w:sz w:val="24"/>
          <w:szCs w:val="24"/>
          <w:shd w:val="clear" w:color="auto" w:fill="FFFFFF"/>
        </w:rPr>
        <w:t> e </w:t>
      </w:r>
      <w:hyperlink r:id="rId116" w:tooltip="Impero russo" w:history="1">
        <w:r w:rsidRPr="00D37D71">
          <w:rPr>
            <w:rStyle w:val="Collegamentoipertestuale"/>
            <w:rFonts w:cstheme="minorHAnsi"/>
            <w:color w:val="auto"/>
            <w:sz w:val="24"/>
            <w:szCs w:val="24"/>
            <w:u w:val="none"/>
            <w:shd w:val="clear" w:color="auto" w:fill="FFFFFF"/>
          </w:rPr>
          <w:t>Russia</w:t>
        </w:r>
      </w:hyperlink>
      <w:r w:rsidRPr="00D37D71">
        <w:rPr>
          <w:rFonts w:cstheme="minorHAnsi"/>
          <w:sz w:val="24"/>
          <w:szCs w:val="24"/>
          <w:shd w:val="clear" w:color="auto" w:fill="FFFFFF"/>
        </w:rPr>
        <w:t>. Assicurava la neutralità dei due firmatari nel caso che uno dei due si fosse trovato in guerra con una terza potenza. Ma, in caso di attacchi a Paesi amici, lasciava libertà ad un firmatario di intervenire contro l'altro: la Russia sarebbe potuta intervenire contro la Germania se questa avesse attaccato la </w:t>
      </w:r>
      <w:hyperlink r:id="rId117" w:tooltip="Terza Repubblica francese" w:history="1">
        <w:r w:rsidRPr="00D37D71">
          <w:rPr>
            <w:rStyle w:val="Collegamentoipertestuale"/>
            <w:rFonts w:cstheme="minorHAnsi"/>
            <w:color w:val="auto"/>
            <w:sz w:val="24"/>
            <w:szCs w:val="24"/>
            <w:u w:val="none"/>
            <w:shd w:val="clear" w:color="auto" w:fill="FFFFFF"/>
          </w:rPr>
          <w:t>Francia</w:t>
        </w:r>
      </w:hyperlink>
      <w:r w:rsidRPr="00D37D71">
        <w:rPr>
          <w:rFonts w:cstheme="minorHAnsi"/>
          <w:sz w:val="24"/>
          <w:szCs w:val="24"/>
          <w:shd w:val="clear" w:color="auto" w:fill="FFFFFF"/>
        </w:rPr>
        <w:t>, e la Germania sarebbe potuta intervenire contro la Russia se questa avesse attaccato l'</w:t>
      </w:r>
      <w:hyperlink r:id="rId118" w:tooltip="Austria-Ungheria" w:history="1">
        <w:r w:rsidRPr="00D37D71">
          <w:rPr>
            <w:rStyle w:val="Collegamentoipertestuale"/>
            <w:rFonts w:cstheme="minorHAnsi"/>
            <w:color w:val="auto"/>
            <w:sz w:val="24"/>
            <w:szCs w:val="24"/>
            <w:u w:val="none"/>
            <w:shd w:val="clear" w:color="auto" w:fill="FFFFFF"/>
          </w:rPr>
          <w:t>Austria-Ungheria</w:t>
        </w:r>
      </w:hyperlink>
      <w:r w:rsidRPr="00D37D71">
        <w:rPr>
          <w:rFonts w:cstheme="minorHAnsi"/>
          <w:sz w:val="24"/>
          <w:szCs w:val="24"/>
          <w:shd w:val="clear" w:color="auto" w:fill="FFFFFF"/>
        </w:rPr>
        <w:t>.</w:t>
      </w:r>
    </w:p>
    <w:p w:rsidR="000B2651" w:rsidRPr="00D37D71" w:rsidRDefault="000B2651" w:rsidP="007F3A37">
      <w:pPr>
        <w:pStyle w:val="Testonotaapidipagina"/>
        <w:jc w:val="both"/>
        <w:rPr>
          <w:rFonts w:cstheme="minorHAnsi"/>
          <w:sz w:val="24"/>
          <w:szCs w:val="24"/>
        </w:rPr>
      </w:pPr>
      <w:r w:rsidRPr="00D37D71">
        <w:rPr>
          <w:rFonts w:cstheme="minorHAnsi"/>
          <w:sz w:val="24"/>
          <w:szCs w:val="24"/>
          <w:shd w:val="clear" w:color="auto" w:fill="FFFFFF"/>
        </w:rPr>
        <w:t>Fu l'ultimo atto diplomatico voluto dal cancelliere tedesco </w:t>
      </w:r>
      <w:hyperlink r:id="rId119" w:tooltip="Otto von Bismarck" w:history="1">
        <w:r w:rsidRPr="00D37D71">
          <w:rPr>
            <w:rStyle w:val="Collegamentoipertestuale"/>
            <w:rFonts w:cstheme="minorHAnsi"/>
            <w:color w:val="auto"/>
            <w:sz w:val="24"/>
            <w:szCs w:val="24"/>
            <w:u w:val="none"/>
            <w:shd w:val="clear" w:color="auto" w:fill="FFFFFF"/>
          </w:rPr>
          <w:t>Otto von Bismarck</w:t>
        </w:r>
      </w:hyperlink>
      <w:r w:rsidRPr="00D37D71">
        <w:rPr>
          <w:rFonts w:cstheme="minorHAnsi"/>
          <w:sz w:val="24"/>
          <w:szCs w:val="24"/>
          <w:shd w:val="clear" w:color="auto" w:fill="FFFFFF"/>
        </w:rPr>
        <w:t>. Con questo trattato egli evitò l'appoggio russo ad un eventuale attacco francese contro la Germania e, lasciandosi mano libera a favore dell'alleata Austria-Ungheria, assicurò la pace fra questa e la Russia. Nel </w:t>
      </w:r>
      <w:hyperlink r:id="rId120" w:tooltip="1890" w:history="1">
        <w:r w:rsidRPr="00D37D71">
          <w:rPr>
            <w:rStyle w:val="Collegamentoipertestuale"/>
            <w:rFonts w:cstheme="minorHAnsi"/>
            <w:color w:val="auto"/>
            <w:sz w:val="24"/>
            <w:szCs w:val="24"/>
            <w:u w:val="none"/>
            <w:shd w:val="clear" w:color="auto" w:fill="FFFFFF"/>
          </w:rPr>
          <w:t>1890</w:t>
        </w:r>
      </w:hyperlink>
      <w:r w:rsidRPr="00D37D71">
        <w:rPr>
          <w:rFonts w:cstheme="minorHAnsi"/>
          <w:sz w:val="24"/>
          <w:szCs w:val="24"/>
          <w:shd w:val="clear" w:color="auto" w:fill="FFFFFF"/>
        </w:rPr>
        <w:t>, dopo aver congedato Bismarck, l'imperatore </w:t>
      </w:r>
      <w:hyperlink r:id="rId121" w:tooltip="Guglielmo II di Germania" w:history="1">
        <w:r w:rsidRPr="00D37D71">
          <w:rPr>
            <w:rStyle w:val="Collegamentoipertestuale"/>
            <w:rFonts w:cstheme="minorHAnsi"/>
            <w:color w:val="auto"/>
            <w:sz w:val="24"/>
            <w:szCs w:val="24"/>
            <w:u w:val="none"/>
            <w:shd w:val="clear" w:color="auto" w:fill="FFFFFF"/>
          </w:rPr>
          <w:t>Guglielmo II di Germania</w:t>
        </w:r>
      </w:hyperlink>
      <w:r w:rsidRPr="00D37D71">
        <w:rPr>
          <w:rFonts w:cstheme="minorHAnsi"/>
          <w:sz w:val="24"/>
          <w:szCs w:val="24"/>
          <w:shd w:val="clear" w:color="auto" w:fill="FFFFFF"/>
        </w:rPr>
        <w:t> non rinnovò il trattato. Due anni dopo veniva stipulata l'</w:t>
      </w:r>
      <w:hyperlink r:id="rId122" w:tooltip="Alleanza franco-russa" w:history="1">
        <w:r w:rsidRPr="00D37D71">
          <w:rPr>
            <w:rStyle w:val="Collegamentoipertestuale"/>
            <w:rFonts w:cstheme="minorHAnsi"/>
            <w:color w:val="auto"/>
            <w:sz w:val="24"/>
            <w:szCs w:val="24"/>
            <w:u w:val="none"/>
            <w:shd w:val="clear" w:color="auto" w:fill="FFFFFF"/>
          </w:rPr>
          <w:t>Alleanza franco-russa</w:t>
        </w:r>
      </w:hyperlink>
    </w:p>
  </w:footnote>
  <w:footnote w:id="39">
    <w:p w:rsidR="000B2651" w:rsidRPr="00112CFF" w:rsidRDefault="000B2651" w:rsidP="007F3A37">
      <w:pPr>
        <w:pStyle w:val="Testonotaapidipagina"/>
        <w:jc w:val="both"/>
        <w:rPr>
          <w:rFonts w:cstheme="minorHAnsi"/>
          <w:sz w:val="24"/>
        </w:rPr>
      </w:pPr>
      <w:r w:rsidRPr="00112CFF">
        <w:rPr>
          <w:rStyle w:val="Rimandonotaapidipagina"/>
          <w:rFonts w:cstheme="minorHAnsi"/>
          <w:sz w:val="24"/>
        </w:rPr>
        <w:footnoteRef/>
      </w:r>
      <w:r w:rsidRPr="00112CFF">
        <w:rPr>
          <w:rFonts w:cstheme="minorHAnsi"/>
          <w:sz w:val="24"/>
        </w:rPr>
        <w:t xml:space="preserve"> </w:t>
      </w:r>
      <w:r w:rsidRPr="00112CFF">
        <w:rPr>
          <w:rFonts w:cstheme="minorHAnsi"/>
          <w:sz w:val="24"/>
          <w:shd w:val="clear" w:color="auto" w:fill="F8F9FA"/>
        </w:rPr>
        <w:t>Guglielmo II (in uniforme russa) e </w:t>
      </w:r>
      <w:hyperlink r:id="rId123" w:tooltip="Nicola II di Russia" w:history="1">
        <w:r w:rsidRPr="00112CFF">
          <w:rPr>
            <w:rStyle w:val="Collegamentoipertestuale"/>
            <w:rFonts w:cstheme="minorHAnsi"/>
            <w:color w:val="auto"/>
            <w:sz w:val="24"/>
            <w:u w:val="none"/>
            <w:shd w:val="clear" w:color="auto" w:fill="F8F9FA"/>
          </w:rPr>
          <w:t>Nicola II</w:t>
        </w:r>
      </w:hyperlink>
      <w:r w:rsidRPr="00112CFF">
        <w:rPr>
          <w:rFonts w:cstheme="minorHAnsi"/>
          <w:sz w:val="24"/>
          <w:shd w:val="clear" w:color="auto" w:fill="F8F9FA"/>
        </w:rPr>
        <w:t>(in uniforme tedesca) a Björkö nel 1905.</w:t>
      </w:r>
    </w:p>
  </w:footnote>
  <w:footnote w:id="40">
    <w:p w:rsidR="000B2651" w:rsidRDefault="000B2651" w:rsidP="007F3A37">
      <w:pPr>
        <w:pStyle w:val="Testonotaapidipagina"/>
        <w:jc w:val="both"/>
      </w:pPr>
      <w:r w:rsidRPr="00E650B5">
        <w:rPr>
          <w:rStyle w:val="Rimandonotaapidipagina"/>
          <w:sz w:val="24"/>
        </w:rPr>
        <w:footnoteRef/>
      </w:r>
      <w:r w:rsidRPr="00E650B5">
        <w:rPr>
          <w:sz w:val="24"/>
        </w:rPr>
        <w:t xml:space="preserve"> </w:t>
      </w:r>
      <w:r w:rsidRPr="00E650B5">
        <w:rPr>
          <w:rFonts w:cstheme="minorHAnsi"/>
          <w:sz w:val="24"/>
          <w:shd w:val="clear" w:color="auto" w:fill="F8F9FA"/>
        </w:rPr>
        <w:t>Locandina russa del 1914 che rappresenta la Triplice Intesa con </w:t>
      </w:r>
      <w:hyperlink r:id="rId124" w:tooltip="Marianne (allegoria)" w:history="1">
        <w:r w:rsidRPr="00E650B5">
          <w:rPr>
            <w:rStyle w:val="Collegamentoipertestuale"/>
            <w:rFonts w:cstheme="minorHAnsi"/>
            <w:color w:val="auto"/>
            <w:sz w:val="24"/>
            <w:u w:val="none"/>
            <w:shd w:val="clear" w:color="auto" w:fill="F8F9FA"/>
          </w:rPr>
          <w:t>Marianne</w:t>
        </w:r>
      </w:hyperlink>
      <w:r w:rsidRPr="00E650B5">
        <w:rPr>
          <w:rFonts w:cstheme="minorHAnsi"/>
          <w:sz w:val="24"/>
          <w:shd w:val="clear" w:color="auto" w:fill="F8F9FA"/>
        </w:rPr>
        <w:t>, la </w:t>
      </w:r>
      <w:hyperlink r:id="rId125" w:tooltip="Madre Russia" w:history="1">
        <w:r w:rsidRPr="00E650B5">
          <w:rPr>
            <w:rStyle w:val="Collegamentoipertestuale"/>
            <w:rFonts w:cstheme="minorHAnsi"/>
            <w:color w:val="auto"/>
            <w:sz w:val="24"/>
            <w:u w:val="none"/>
            <w:shd w:val="clear" w:color="auto" w:fill="F8F9FA"/>
          </w:rPr>
          <w:t>Madre Russia</w:t>
        </w:r>
      </w:hyperlink>
      <w:r w:rsidRPr="00E650B5">
        <w:rPr>
          <w:rFonts w:cstheme="minorHAnsi"/>
          <w:sz w:val="24"/>
          <w:shd w:val="clear" w:color="auto" w:fill="F8F9FA"/>
        </w:rPr>
        <w:t> e </w:t>
      </w:r>
      <w:hyperlink r:id="rId126" w:tooltip="Britannia" w:history="1">
        <w:r w:rsidRPr="00E650B5">
          <w:rPr>
            <w:rStyle w:val="Collegamentoipertestuale"/>
            <w:rFonts w:cstheme="minorHAnsi"/>
            <w:color w:val="auto"/>
            <w:sz w:val="24"/>
            <w:u w:val="none"/>
            <w:shd w:val="clear" w:color="auto" w:fill="F8F9FA"/>
          </w:rPr>
          <w:t>Britannia</w:t>
        </w:r>
      </w:hyperlink>
    </w:p>
  </w:footnote>
  <w:footnote w:id="41">
    <w:p w:rsidR="000B2651" w:rsidRPr="002C16C3" w:rsidRDefault="000B2651" w:rsidP="007F3A37">
      <w:pPr>
        <w:pStyle w:val="Testonotaapidipagina"/>
        <w:jc w:val="both"/>
        <w:rPr>
          <w:rFonts w:cstheme="minorHAnsi"/>
          <w:sz w:val="24"/>
          <w:szCs w:val="24"/>
        </w:rPr>
      </w:pPr>
      <w:r w:rsidRPr="002C16C3">
        <w:rPr>
          <w:rStyle w:val="Rimandonotaapidipagina"/>
          <w:rFonts w:cstheme="minorHAnsi"/>
          <w:sz w:val="24"/>
          <w:szCs w:val="24"/>
        </w:rPr>
        <w:footnoteRef/>
      </w:r>
      <w:r w:rsidRPr="002C16C3">
        <w:rPr>
          <w:rFonts w:cstheme="minorHAnsi"/>
          <w:sz w:val="24"/>
          <w:szCs w:val="24"/>
        </w:rPr>
        <w:t xml:space="preserve"> </w:t>
      </w:r>
      <w:r w:rsidRPr="002C16C3">
        <w:rPr>
          <w:rFonts w:cstheme="minorHAnsi"/>
          <w:sz w:val="24"/>
          <w:szCs w:val="24"/>
          <w:shd w:val="clear" w:color="auto" w:fill="FFFFFF"/>
        </w:rPr>
        <w:t>Le province dell'</w:t>
      </w:r>
      <w:hyperlink r:id="rId127" w:tooltip="Austria-Ungheria" w:history="1">
        <w:r w:rsidRPr="002C16C3">
          <w:rPr>
            <w:rStyle w:val="Collegamentoipertestuale"/>
            <w:rFonts w:cstheme="minorHAnsi"/>
            <w:color w:val="auto"/>
            <w:sz w:val="24"/>
            <w:szCs w:val="24"/>
            <w:u w:val="none"/>
            <w:shd w:val="clear" w:color="auto" w:fill="FFFFFF"/>
          </w:rPr>
          <w:t>Austria-Ungheria</w:t>
        </w:r>
      </w:hyperlink>
      <w:r w:rsidRPr="002C16C3">
        <w:rPr>
          <w:rFonts w:cstheme="minorHAnsi"/>
          <w:sz w:val="24"/>
          <w:szCs w:val="24"/>
          <w:shd w:val="clear" w:color="auto" w:fill="FFFFFF"/>
        </w:rPr>
        <w:t> dopo la Crisi bosniaca</w:t>
      </w:r>
    </w:p>
  </w:footnote>
  <w:footnote w:id="42">
    <w:p w:rsidR="000B2651" w:rsidRPr="00BB5924" w:rsidRDefault="000B2651" w:rsidP="007F3A37">
      <w:pPr>
        <w:pStyle w:val="Testonotaapidipagina"/>
        <w:jc w:val="both"/>
        <w:rPr>
          <w:rFonts w:cstheme="minorHAnsi"/>
          <w:sz w:val="24"/>
          <w:szCs w:val="24"/>
        </w:rPr>
      </w:pPr>
      <w:r w:rsidRPr="00BB5924">
        <w:rPr>
          <w:rStyle w:val="Rimandonotaapidipagina"/>
          <w:rFonts w:cstheme="minorHAnsi"/>
          <w:sz w:val="24"/>
          <w:szCs w:val="24"/>
        </w:rPr>
        <w:footnoteRef/>
      </w:r>
      <w:r w:rsidRPr="00BB5924">
        <w:rPr>
          <w:rFonts w:cstheme="minorHAnsi"/>
          <w:sz w:val="24"/>
          <w:szCs w:val="24"/>
        </w:rPr>
        <w:t xml:space="preserve"> </w:t>
      </w:r>
      <w:r w:rsidRPr="00BB5924">
        <w:rPr>
          <w:rFonts w:cstheme="minorHAnsi"/>
          <w:sz w:val="24"/>
          <w:szCs w:val="24"/>
          <w:shd w:val="clear" w:color="auto" w:fill="F8F9FA"/>
        </w:rPr>
        <w:t>L'attentato di Sarajevo in un'illustrazione di </w:t>
      </w:r>
      <w:hyperlink r:id="rId128" w:tooltip="Achille Beltrame" w:history="1">
        <w:r w:rsidRPr="00BB5924">
          <w:rPr>
            <w:rStyle w:val="Collegamentoipertestuale"/>
            <w:rFonts w:cstheme="minorHAnsi"/>
            <w:color w:val="auto"/>
            <w:sz w:val="24"/>
            <w:szCs w:val="24"/>
            <w:u w:val="none"/>
            <w:shd w:val="clear" w:color="auto" w:fill="F8F9FA"/>
          </w:rPr>
          <w:t>Achille Beltrame</w:t>
        </w:r>
      </w:hyperlink>
    </w:p>
  </w:footnote>
  <w:footnote w:id="43">
    <w:p w:rsidR="000B2651" w:rsidRPr="00CF1EC6" w:rsidRDefault="000B2651" w:rsidP="007F3A37">
      <w:pPr>
        <w:pStyle w:val="Testonotaapidipagina"/>
        <w:jc w:val="both"/>
        <w:rPr>
          <w:rFonts w:cstheme="minorHAnsi"/>
          <w:sz w:val="24"/>
          <w:szCs w:val="24"/>
        </w:rPr>
      </w:pPr>
      <w:r w:rsidRPr="00CF1EC6">
        <w:rPr>
          <w:rStyle w:val="Rimandonotaapidipagina"/>
          <w:rFonts w:cstheme="minorHAnsi"/>
          <w:sz w:val="24"/>
          <w:szCs w:val="24"/>
        </w:rPr>
        <w:footnoteRef/>
      </w:r>
      <w:r>
        <w:rPr>
          <w:rFonts w:cstheme="minorHAnsi"/>
          <w:sz w:val="24"/>
          <w:szCs w:val="24"/>
        </w:rPr>
        <w:t xml:space="preserve"> Significative furono le parole di Guglielmo II, il Kaiser:</w:t>
      </w:r>
    </w:p>
    <w:tbl>
      <w:tblPr>
        <w:tblW w:w="0" w:type="dxa"/>
        <w:tblCellSpacing w:w="15" w:type="dxa"/>
        <w:tblCellMar>
          <w:left w:w="0" w:type="dxa"/>
          <w:right w:w="0" w:type="dxa"/>
        </w:tblCellMar>
        <w:tblLook w:val="04A0"/>
      </w:tblPr>
      <w:tblGrid>
        <w:gridCol w:w="10323"/>
      </w:tblGrid>
      <w:tr w:rsidR="000B2651" w:rsidRPr="00CF1EC6" w:rsidTr="00CF1EC6">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B2651" w:rsidRPr="00CF1EC6" w:rsidRDefault="000B2651" w:rsidP="007F3A37">
            <w:pPr>
              <w:spacing w:after="120" w:line="240" w:lineRule="auto"/>
              <w:jc w:val="both"/>
              <w:rPr>
                <w:rFonts w:eastAsia="Times New Roman" w:cstheme="minorHAnsi"/>
                <w:sz w:val="24"/>
                <w:szCs w:val="24"/>
              </w:rPr>
            </w:pPr>
            <w:r w:rsidRPr="00CF1EC6">
              <w:rPr>
                <w:rFonts w:eastAsia="Times New Roman" w:cstheme="minorHAnsi"/>
                <w:sz w:val="24"/>
                <w:szCs w:val="24"/>
              </w:rPr>
              <w:t>« Tornerete nelle vostre case prima che siano cadute le foglie dagli alberi »</w:t>
            </w:r>
          </w:p>
        </w:tc>
      </w:tr>
      <w:tr w:rsidR="000B2651" w:rsidRPr="00CF1EC6" w:rsidTr="00CF1EC6">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0B2651" w:rsidRPr="00CF1EC6" w:rsidRDefault="000B2651" w:rsidP="007F3A37">
            <w:pPr>
              <w:spacing w:after="120" w:line="240" w:lineRule="auto"/>
              <w:jc w:val="both"/>
              <w:rPr>
                <w:rFonts w:eastAsia="Times New Roman" w:cstheme="minorHAnsi"/>
                <w:sz w:val="24"/>
                <w:szCs w:val="24"/>
              </w:rPr>
            </w:pPr>
            <w:r w:rsidRPr="00CF1EC6">
              <w:rPr>
                <w:rFonts w:eastAsia="Times New Roman" w:cstheme="minorHAnsi"/>
                <w:sz w:val="24"/>
                <w:szCs w:val="24"/>
              </w:rPr>
              <w:t>(</w:t>
            </w:r>
            <w:hyperlink r:id="rId129" w:tooltip="Guglielmo II di Germania" w:history="1">
              <w:r w:rsidRPr="00CF1EC6">
                <w:rPr>
                  <w:rFonts w:eastAsia="Times New Roman" w:cstheme="minorHAnsi"/>
                  <w:sz w:val="24"/>
                  <w:szCs w:val="24"/>
                </w:rPr>
                <w:t>Guglielmo II</w:t>
              </w:r>
            </w:hyperlink>
            <w:r w:rsidRPr="00CF1EC6">
              <w:rPr>
                <w:rFonts w:eastAsia="Times New Roman" w:cstheme="minorHAnsi"/>
                <w:sz w:val="24"/>
                <w:szCs w:val="24"/>
              </w:rPr>
              <w:t> alle truppe tedesche in partenza per il fronte nella prima settimana di agosto 1914</w:t>
            </w:r>
            <w:r>
              <w:rPr>
                <w:rFonts w:eastAsia="Times New Roman" w:cstheme="minorHAnsi"/>
                <w:sz w:val="24"/>
                <w:szCs w:val="24"/>
              </w:rPr>
              <w:t>)</w:t>
            </w:r>
          </w:p>
        </w:tc>
      </w:tr>
    </w:tbl>
    <w:p w:rsidR="000B2651" w:rsidRDefault="000B2651" w:rsidP="007F3A37">
      <w:pPr>
        <w:pStyle w:val="Testonotaapidipagina"/>
        <w:jc w:val="both"/>
      </w:pPr>
    </w:p>
  </w:footnote>
  <w:footnote w:id="44">
    <w:p w:rsidR="000B2651" w:rsidRDefault="000B2651" w:rsidP="007F3A37">
      <w:pPr>
        <w:pStyle w:val="Testonotaapidipagina"/>
        <w:jc w:val="both"/>
      </w:pPr>
      <w:r w:rsidRPr="00D4313B">
        <w:rPr>
          <w:rStyle w:val="Rimandonotaapidipagina"/>
          <w:sz w:val="24"/>
        </w:rPr>
        <w:footnoteRef/>
      </w:r>
      <w:r w:rsidRPr="00D4313B">
        <w:rPr>
          <w:sz w:val="24"/>
        </w:rPr>
        <w:t xml:space="preserve"> Prigionieri russi a Tanneberg</w:t>
      </w:r>
    </w:p>
  </w:footnote>
  <w:footnote w:id="45">
    <w:p w:rsidR="000B2651" w:rsidRPr="00204612" w:rsidRDefault="000B2651" w:rsidP="007F3A37">
      <w:pPr>
        <w:pStyle w:val="Testonotaapidipagina"/>
        <w:jc w:val="both"/>
        <w:rPr>
          <w:rFonts w:cstheme="minorHAnsi"/>
          <w:sz w:val="28"/>
          <w:szCs w:val="28"/>
        </w:rPr>
      </w:pPr>
      <w:r w:rsidRPr="00204612">
        <w:rPr>
          <w:rStyle w:val="Rimandonotaapidipagina"/>
          <w:rFonts w:cstheme="minorHAnsi"/>
          <w:sz w:val="28"/>
          <w:szCs w:val="28"/>
        </w:rPr>
        <w:footnoteRef/>
      </w:r>
      <w:r w:rsidRPr="00204612">
        <w:rPr>
          <w:rFonts w:cstheme="minorHAnsi"/>
          <w:sz w:val="28"/>
          <w:szCs w:val="28"/>
        </w:rPr>
        <w:t xml:space="preserve"> </w:t>
      </w:r>
      <w:r w:rsidRPr="00204612">
        <w:rPr>
          <w:rFonts w:cstheme="minorHAnsi"/>
          <w:sz w:val="28"/>
          <w:szCs w:val="28"/>
          <w:shd w:val="clear" w:color="auto" w:fill="F8F9FA"/>
        </w:rPr>
        <w:t>Lo zar </w:t>
      </w:r>
      <w:hyperlink r:id="rId130" w:tooltip="Nicola II di Russia" w:history="1">
        <w:r w:rsidRPr="00204612">
          <w:rPr>
            <w:rStyle w:val="Collegamentoipertestuale"/>
            <w:rFonts w:cstheme="minorHAnsi"/>
            <w:color w:val="auto"/>
            <w:sz w:val="28"/>
            <w:szCs w:val="28"/>
            <w:u w:val="none"/>
            <w:shd w:val="clear" w:color="auto" w:fill="F8F9FA"/>
          </w:rPr>
          <w:t>Nicola II</w:t>
        </w:r>
      </w:hyperlink>
      <w:r w:rsidRPr="00204612">
        <w:rPr>
          <w:rFonts w:cstheme="minorHAnsi"/>
          <w:sz w:val="28"/>
          <w:szCs w:val="28"/>
          <w:shd w:val="clear" w:color="auto" w:fill="F8F9FA"/>
        </w:rPr>
        <w:t> passa in rassegna un reparto di fanteria, insieme ad alcuni alti ufficiali, all'inizio della guerra mondiale.</w:t>
      </w:r>
    </w:p>
  </w:footnote>
  <w:footnote w:id="46">
    <w:p w:rsidR="000B2651" w:rsidRPr="00DF15E6" w:rsidRDefault="000B2651" w:rsidP="007F3A37">
      <w:pPr>
        <w:pStyle w:val="Testonotaapidipagina"/>
        <w:jc w:val="both"/>
        <w:rPr>
          <w:rFonts w:cstheme="minorHAnsi"/>
          <w:sz w:val="24"/>
          <w:szCs w:val="24"/>
        </w:rPr>
      </w:pPr>
      <w:r w:rsidRPr="00DF15E6">
        <w:rPr>
          <w:rStyle w:val="Rimandonotaapidipagina"/>
          <w:rFonts w:cstheme="minorHAnsi"/>
          <w:sz w:val="24"/>
          <w:szCs w:val="24"/>
        </w:rPr>
        <w:footnoteRef/>
      </w:r>
      <w:r w:rsidRPr="00DF15E6">
        <w:rPr>
          <w:rFonts w:cstheme="minorHAnsi"/>
          <w:sz w:val="24"/>
          <w:szCs w:val="24"/>
        </w:rPr>
        <w:t xml:space="preserve"> </w:t>
      </w:r>
      <w:r w:rsidRPr="00DF15E6">
        <w:rPr>
          <w:rFonts w:cstheme="minorHAnsi"/>
          <w:sz w:val="24"/>
          <w:szCs w:val="24"/>
          <w:shd w:val="clear" w:color="auto" w:fill="F8F9FA"/>
        </w:rPr>
        <w:t>L'esercito del Governo provvisorio spara sui manifestanti durante le Giornate di luglio</w:t>
      </w:r>
    </w:p>
  </w:footnote>
  <w:footnote w:id="47">
    <w:p w:rsidR="000B2651" w:rsidRPr="004D7A7F" w:rsidRDefault="000B2651" w:rsidP="007F3A37">
      <w:pPr>
        <w:pStyle w:val="NormaleWeb"/>
        <w:shd w:val="clear" w:color="auto" w:fill="FFFFFF"/>
        <w:spacing w:before="120" w:beforeAutospacing="0" w:after="120" w:afterAutospacing="0"/>
        <w:jc w:val="both"/>
        <w:rPr>
          <w:rFonts w:asciiTheme="minorHAnsi" w:hAnsiTheme="minorHAnsi" w:cstheme="minorHAnsi"/>
        </w:rPr>
      </w:pPr>
      <w:r w:rsidRPr="004D7A7F">
        <w:rPr>
          <w:rStyle w:val="mw-headline"/>
          <w:rFonts w:asciiTheme="minorHAnsi" w:hAnsiTheme="minorHAnsi" w:cstheme="minorHAnsi"/>
        </w:rPr>
        <w:footnoteRef/>
      </w:r>
      <w:r w:rsidRPr="004D7A7F">
        <w:rPr>
          <w:rFonts w:asciiTheme="minorHAnsi" w:hAnsiTheme="minorHAnsi" w:cstheme="minorHAnsi"/>
        </w:rPr>
        <w:t xml:space="preserve"> La </w:t>
      </w:r>
      <w:r w:rsidRPr="004D7A7F">
        <w:rPr>
          <w:rFonts w:asciiTheme="minorHAnsi" w:hAnsiTheme="minorHAnsi" w:cstheme="minorHAnsi"/>
          <w:b/>
          <w:bCs/>
        </w:rPr>
        <w:t>legge marziale</w:t>
      </w:r>
      <w:r w:rsidRPr="004D7A7F">
        <w:rPr>
          <w:rFonts w:asciiTheme="minorHAnsi" w:hAnsiTheme="minorHAnsi" w:cstheme="minorHAnsi"/>
        </w:rPr>
        <w:t> (letteralmente "legge del dio Marte"</w:t>
      </w:r>
      <w:hyperlink r:id="rId131" w:anchor="cite_note-marziale-1" w:history="1">
        <w:r w:rsidRPr="004D7A7F">
          <w:rPr>
            <w:rStyle w:val="Collegamentoipertestuale"/>
            <w:rFonts w:asciiTheme="minorHAnsi" w:hAnsiTheme="minorHAnsi" w:cstheme="minorHAnsi"/>
            <w:color w:val="auto"/>
            <w:u w:val="none"/>
            <w:vertAlign w:val="superscript"/>
          </w:rPr>
          <w:t>[1]</w:t>
        </w:r>
      </w:hyperlink>
      <w:r w:rsidRPr="004D7A7F">
        <w:rPr>
          <w:rFonts w:asciiTheme="minorHAnsi" w:hAnsiTheme="minorHAnsi" w:cstheme="minorHAnsi"/>
        </w:rPr>
        <w:t>) è un sistema di </w:t>
      </w:r>
      <w:hyperlink r:id="rId132" w:tooltip="Governo" w:history="1">
        <w:r w:rsidRPr="004D7A7F">
          <w:rPr>
            <w:rStyle w:val="Collegamentoipertestuale"/>
            <w:rFonts w:asciiTheme="minorHAnsi" w:hAnsiTheme="minorHAnsi" w:cstheme="minorHAnsi"/>
            <w:color w:val="auto"/>
            <w:u w:val="none"/>
          </w:rPr>
          <w:t>governo</w:t>
        </w:r>
      </w:hyperlink>
      <w:r w:rsidRPr="004D7A7F">
        <w:rPr>
          <w:rFonts w:asciiTheme="minorHAnsi" w:hAnsiTheme="minorHAnsi" w:cstheme="minorHAnsi"/>
        </w:rPr>
        <w:t> in cui le leggi ordinariamente in vigore in uno Stato vengono temporaneamente sospese e i tribunali militari prendono il controllo della normale ammi</w:t>
      </w:r>
      <w:r>
        <w:rPr>
          <w:rFonts w:asciiTheme="minorHAnsi" w:hAnsiTheme="minorHAnsi" w:cstheme="minorHAnsi"/>
        </w:rPr>
        <w:t xml:space="preserve">nistrazione della giustizia. </w:t>
      </w:r>
      <w:r w:rsidRPr="004D7A7F">
        <w:rPr>
          <w:rFonts w:asciiTheme="minorHAnsi" w:hAnsiTheme="minorHAnsi" w:cstheme="minorHAnsi"/>
        </w:rPr>
        <w:t>Questo avviene principalmente in caso di stato di guerra della nazione interessata, o di eccezionali esigenze di ordine pubblico. Di solito, la legge marziale riduce alcuni dei diritti personali normalmente garantiti ai cittadini: viene limitata la durata dei processi e si prescrivono sanzioni più severe rispetto alla legge ordinaria. In alcuni Stati la legge marziale prescrive la </w:t>
      </w:r>
      <w:hyperlink r:id="rId133" w:tooltip="Pena di morte" w:history="1">
        <w:r w:rsidRPr="004D7A7F">
          <w:rPr>
            <w:rStyle w:val="Collegamentoipertestuale"/>
            <w:rFonts w:asciiTheme="minorHAnsi" w:hAnsiTheme="minorHAnsi" w:cstheme="minorHAnsi"/>
            <w:color w:val="auto"/>
            <w:u w:val="none"/>
          </w:rPr>
          <w:t>pena di morte</w:t>
        </w:r>
      </w:hyperlink>
      <w:r w:rsidRPr="004D7A7F">
        <w:rPr>
          <w:rFonts w:asciiTheme="minorHAnsi" w:hAnsiTheme="minorHAnsi" w:cstheme="minorHAnsi"/>
        </w:rPr>
        <w:t> per alcuni crimini, anche se le leggi ordinarie non riconoscono quella pena nel proprio sistema.</w:t>
      </w:r>
    </w:p>
    <w:p w:rsidR="000B2651" w:rsidRDefault="000B2651" w:rsidP="007F3A37">
      <w:pPr>
        <w:pStyle w:val="Testonotaapidipagina"/>
        <w:jc w:val="both"/>
      </w:pPr>
    </w:p>
  </w:footnote>
  <w:footnote w:id="48">
    <w:p w:rsidR="000B2651" w:rsidRDefault="000B2651" w:rsidP="007F3A37">
      <w:pPr>
        <w:pStyle w:val="Testonotaapidipagina"/>
        <w:jc w:val="both"/>
      </w:pPr>
      <w:r>
        <w:rPr>
          <w:rStyle w:val="Rimandonotaapidipagina"/>
        </w:rPr>
        <w:footnoteRef/>
      </w:r>
      <w:r>
        <w:t xml:space="preserve"> </w:t>
      </w:r>
      <w:r w:rsidRPr="00667BBD">
        <w:rPr>
          <w:rFonts w:cstheme="minorHAnsi"/>
          <w:i/>
          <w:iCs/>
          <w:sz w:val="24"/>
          <w:szCs w:val="24"/>
          <w:shd w:val="clear" w:color="auto" w:fill="F8F9FA"/>
        </w:rPr>
        <w:t>Libertà bolscevica</w:t>
      </w:r>
      <w:r w:rsidRPr="00667BBD">
        <w:rPr>
          <w:rFonts w:cstheme="minorHAnsi"/>
          <w:sz w:val="24"/>
          <w:szCs w:val="24"/>
          <w:shd w:val="clear" w:color="auto" w:fill="F8F9FA"/>
        </w:rPr>
        <w:t>: manifesto </w:t>
      </w:r>
      <w:hyperlink r:id="rId134" w:tooltip="Anticomunismo" w:history="1">
        <w:r w:rsidRPr="00667BBD">
          <w:rPr>
            <w:rStyle w:val="Collegamentoipertestuale"/>
            <w:rFonts w:cstheme="minorHAnsi"/>
            <w:color w:val="auto"/>
            <w:sz w:val="24"/>
            <w:szCs w:val="24"/>
            <w:u w:val="none"/>
            <w:shd w:val="clear" w:color="auto" w:fill="F8F9FA"/>
          </w:rPr>
          <w:t>anticomunista</w:t>
        </w:r>
      </w:hyperlink>
      <w:r w:rsidRPr="00667BBD">
        <w:rPr>
          <w:rFonts w:cstheme="minorHAnsi"/>
          <w:sz w:val="24"/>
          <w:szCs w:val="24"/>
          <w:shd w:val="clear" w:color="auto" w:fill="F8F9FA"/>
        </w:rPr>
        <w:t> polacco che fa riferimento al Terrore rosso incarnato dalla figura di </w:t>
      </w:r>
      <w:hyperlink r:id="rId135" w:tooltip="Lev Trotsky" w:history="1">
        <w:r w:rsidRPr="00667BBD">
          <w:rPr>
            <w:rStyle w:val="Collegamentoipertestuale"/>
            <w:rFonts w:cstheme="minorHAnsi"/>
            <w:color w:val="auto"/>
            <w:sz w:val="24"/>
            <w:szCs w:val="24"/>
            <w:u w:val="none"/>
            <w:shd w:val="clear" w:color="auto" w:fill="F8F9FA"/>
          </w:rPr>
          <w:t>Lev Trotsky</w:t>
        </w:r>
      </w:hyperlink>
    </w:p>
  </w:footnote>
  <w:footnote w:id="49">
    <w:p w:rsidR="000B2651" w:rsidRPr="002340B8" w:rsidRDefault="000B2651" w:rsidP="007F3A37">
      <w:pPr>
        <w:pStyle w:val="Testonotaapidipagina"/>
        <w:jc w:val="both"/>
        <w:rPr>
          <w:rFonts w:cstheme="minorHAnsi"/>
          <w:sz w:val="24"/>
          <w:szCs w:val="24"/>
        </w:rPr>
      </w:pPr>
      <w:r w:rsidRPr="00667BBD">
        <w:rPr>
          <w:rStyle w:val="Rimandonotaapidipagina"/>
          <w:rFonts w:cstheme="minorHAnsi"/>
          <w:sz w:val="24"/>
          <w:szCs w:val="24"/>
        </w:rPr>
        <w:footnoteRef/>
      </w:r>
      <w:r w:rsidRPr="00667BBD">
        <w:rPr>
          <w:rFonts w:cstheme="minorHAnsi"/>
          <w:sz w:val="24"/>
          <w:szCs w:val="24"/>
        </w:rPr>
        <w:t xml:space="preserve"> </w:t>
      </w:r>
      <w:r w:rsidRPr="00667BBD">
        <w:rPr>
          <w:rFonts w:cstheme="minorHAnsi"/>
          <w:sz w:val="24"/>
          <w:szCs w:val="24"/>
          <w:shd w:val="clear" w:color="auto" w:fill="FFFFFF"/>
        </w:rPr>
        <w:t>Il </w:t>
      </w:r>
      <w:r w:rsidRPr="00667BBD">
        <w:rPr>
          <w:rFonts w:cstheme="minorHAnsi"/>
          <w:b/>
          <w:bCs/>
          <w:sz w:val="24"/>
          <w:szCs w:val="24"/>
          <w:shd w:val="clear" w:color="auto" w:fill="FFFFFF"/>
        </w:rPr>
        <w:t>Terrore rosso</w:t>
      </w:r>
      <w:r w:rsidRPr="00667BBD">
        <w:rPr>
          <w:rFonts w:cstheme="minorHAnsi"/>
          <w:sz w:val="24"/>
          <w:szCs w:val="24"/>
          <w:shd w:val="clear" w:color="auto" w:fill="FFFFFF"/>
        </w:rPr>
        <w:t> (in </w:t>
      </w:r>
      <w:hyperlink r:id="rId136" w:tooltip="Lingua russa" w:history="1">
        <w:r w:rsidRPr="00667BBD">
          <w:rPr>
            <w:rStyle w:val="Collegamentoipertestuale"/>
            <w:rFonts w:cstheme="minorHAnsi"/>
            <w:color w:val="auto"/>
            <w:sz w:val="24"/>
            <w:szCs w:val="24"/>
            <w:u w:val="none"/>
            <w:shd w:val="clear" w:color="auto" w:fill="FFFFFF"/>
          </w:rPr>
          <w:t>russo</w:t>
        </w:r>
      </w:hyperlink>
      <w:r w:rsidRPr="00667BBD">
        <w:rPr>
          <w:rFonts w:cstheme="minorHAnsi"/>
          <w:sz w:val="24"/>
          <w:szCs w:val="24"/>
          <w:shd w:val="clear" w:color="auto" w:fill="FFFFFF"/>
        </w:rPr>
        <w:t> </w:t>
      </w:r>
      <w:r w:rsidRPr="00667BBD">
        <w:rPr>
          <w:rFonts w:cstheme="minorHAnsi"/>
          <w:b/>
          <w:bCs/>
          <w:sz w:val="24"/>
          <w:szCs w:val="24"/>
          <w:shd w:val="clear" w:color="auto" w:fill="FFFFFF"/>
        </w:rPr>
        <w:t>Кра́сный терро́р</w:t>
      </w:r>
      <w:r w:rsidRPr="00667BBD">
        <w:rPr>
          <w:rFonts w:cstheme="minorHAnsi"/>
          <w:sz w:val="24"/>
          <w:szCs w:val="24"/>
          <w:shd w:val="clear" w:color="auto" w:fill="FFFFFF"/>
        </w:rPr>
        <w:t>, </w:t>
      </w:r>
      <w:r w:rsidRPr="00667BBD">
        <w:rPr>
          <w:rFonts w:cstheme="minorHAnsi"/>
          <w:i/>
          <w:iCs/>
          <w:sz w:val="24"/>
          <w:szCs w:val="24"/>
          <w:shd w:val="clear" w:color="auto" w:fill="FFFFFF"/>
        </w:rPr>
        <w:t>Krásnyj terrór</w:t>
      </w:r>
      <w:r w:rsidRPr="00667BBD">
        <w:rPr>
          <w:rFonts w:cstheme="minorHAnsi"/>
          <w:sz w:val="24"/>
          <w:szCs w:val="24"/>
          <w:shd w:val="clear" w:color="auto" w:fill="FFFFFF"/>
        </w:rPr>
        <w:t>) fu una campagna di arresti di massa, deportazioni ed esecuzioni indirizzata verso i </w:t>
      </w:r>
      <w:hyperlink r:id="rId137" w:tooltip="Controrivoluzione" w:history="1">
        <w:r w:rsidRPr="00667BBD">
          <w:rPr>
            <w:rStyle w:val="Collegamentoipertestuale"/>
            <w:rFonts w:cstheme="minorHAnsi"/>
            <w:color w:val="auto"/>
            <w:sz w:val="24"/>
            <w:szCs w:val="24"/>
            <w:u w:val="none"/>
            <w:shd w:val="clear" w:color="auto" w:fill="FFFFFF"/>
          </w:rPr>
          <w:t>controrivoluzionari</w:t>
        </w:r>
      </w:hyperlink>
      <w:r w:rsidRPr="00667BBD">
        <w:rPr>
          <w:rFonts w:cstheme="minorHAnsi"/>
          <w:sz w:val="24"/>
          <w:szCs w:val="24"/>
          <w:shd w:val="clear" w:color="auto" w:fill="FFFFFF"/>
        </w:rPr>
        <w:t> durante la </w:t>
      </w:r>
      <w:hyperlink r:id="rId138" w:tooltip="Guerra civile russa" w:history="1">
        <w:r w:rsidRPr="00667BBD">
          <w:rPr>
            <w:rStyle w:val="Collegamentoipertestuale"/>
            <w:rFonts w:cstheme="minorHAnsi"/>
            <w:color w:val="auto"/>
            <w:sz w:val="24"/>
            <w:szCs w:val="24"/>
            <w:u w:val="none"/>
            <w:shd w:val="clear" w:color="auto" w:fill="FFFFFF"/>
          </w:rPr>
          <w:t>Guerra civile russa</w:t>
        </w:r>
      </w:hyperlink>
      <w:r w:rsidRPr="00667BBD">
        <w:rPr>
          <w:rFonts w:cstheme="minorHAnsi"/>
          <w:sz w:val="24"/>
          <w:szCs w:val="24"/>
          <w:shd w:val="clear" w:color="auto" w:fill="FFFFFF"/>
        </w:rPr>
        <w:t>. Venne avviato e condotto dai </w:t>
      </w:r>
      <w:hyperlink r:id="rId139" w:tooltip="Bolscevismo" w:history="1">
        <w:r w:rsidRPr="00667BBD">
          <w:rPr>
            <w:rStyle w:val="Collegamentoipertestuale"/>
            <w:rFonts w:cstheme="minorHAnsi"/>
            <w:color w:val="auto"/>
            <w:sz w:val="24"/>
            <w:szCs w:val="24"/>
            <w:u w:val="none"/>
            <w:shd w:val="clear" w:color="auto" w:fill="FFFFFF"/>
          </w:rPr>
          <w:t>bolscevichi</w:t>
        </w:r>
      </w:hyperlink>
      <w:r w:rsidRPr="00667BBD">
        <w:rPr>
          <w:rFonts w:cstheme="minorHAnsi"/>
          <w:sz w:val="24"/>
          <w:szCs w:val="24"/>
          <w:shd w:val="clear" w:color="auto" w:fill="FFFFFF"/>
        </w:rPr>
        <w:t> in risposta al "</w:t>
      </w:r>
      <w:hyperlink r:id="rId140" w:tooltip="Terrore bianco (Russia) (la pagina non esiste)" w:history="1">
        <w:r w:rsidRPr="00667BBD">
          <w:rPr>
            <w:rStyle w:val="Collegamentoipertestuale"/>
            <w:rFonts w:cstheme="minorHAnsi"/>
            <w:color w:val="auto"/>
            <w:sz w:val="24"/>
            <w:szCs w:val="24"/>
            <w:u w:val="none"/>
            <w:shd w:val="clear" w:color="auto" w:fill="FFFFFF"/>
          </w:rPr>
          <w:t>terrore bianco</w:t>
        </w:r>
      </w:hyperlink>
      <w:r w:rsidRPr="00667BBD">
        <w:rPr>
          <w:rFonts w:cstheme="minorHAnsi"/>
          <w:sz w:val="24"/>
          <w:szCs w:val="24"/>
          <w:shd w:val="clear" w:color="auto" w:fill="FFFFFF"/>
        </w:rPr>
        <w:t>", in seguito all'assassinio del capo della </w:t>
      </w:r>
      <w:hyperlink r:id="rId141" w:tooltip="Čeka" w:history="1">
        <w:r w:rsidRPr="00667BBD">
          <w:rPr>
            <w:rStyle w:val="Collegamentoipertestuale"/>
            <w:rFonts w:cstheme="minorHAnsi"/>
            <w:color w:val="auto"/>
            <w:sz w:val="24"/>
            <w:szCs w:val="24"/>
            <w:u w:val="none"/>
            <w:shd w:val="clear" w:color="auto" w:fill="FFFFFF"/>
          </w:rPr>
          <w:t>Čeka</w:t>
        </w:r>
      </w:hyperlink>
      <w:r w:rsidRPr="00667BBD">
        <w:rPr>
          <w:rFonts w:cstheme="minorHAnsi"/>
          <w:sz w:val="24"/>
          <w:szCs w:val="24"/>
          <w:shd w:val="clear" w:color="auto" w:fill="FFFFFF"/>
        </w:rPr>
        <w:t> di </w:t>
      </w:r>
      <w:hyperlink r:id="rId142" w:tooltip="Pietrogrado" w:history="1">
        <w:r w:rsidRPr="00667BBD">
          <w:rPr>
            <w:rStyle w:val="Collegamentoipertestuale"/>
            <w:rFonts w:cstheme="minorHAnsi"/>
            <w:color w:val="auto"/>
            <w:sz w:val="24"/>
            <w:szCs w:val="24"/>
            <w:u w:val="none"/>
            <w:shd w:val="clear" w:color="auto" w:fill="FFFFFF"/>
          </w:rPr>
          <w:t>Pietrogrado</w:t>
        </w:r>
      </w:hyperlink>
      <w:r w:rsidRPr="00667BBD">
        <w:rPr>
          <w:rFonts w:cstheme="minorHAnsi"/>
          <w:sz w:val="24"/>
          <w:szCs w:val="24"/>
          <w:shd w:val="clear" w:color="auto" w:fill="FFFFFF"/>
        </w:rPr>
        <w:t>, </w:t>
      </w:r>
      <w:hyperlink r:id="rId143" w:tooltip="Moisej Solomonovič Urickij" w:history="1">
        <w:r w:rsidRPr="00667BBD">
          <w:rPr>
            <w:rStyle w:val="Collegamentoipertestuale"/>
            <w:rFonts w:cstheme="minorHAnsi"/>
            <w:color w:val="auto"/>
            <w:sz w:val="24"/>
            <w:szCs w:val="24"/>
            <w:u w:val="none"/>
            <w:shd w:val="clear" w:color="auto" w:fill="FFFFFF"/>
          </w:rPr>
          <w:t>Moisej Urickij</w:t>
        </w:r>
      </w:hyperlink>
      <w:r w:rsidRPr="00667BBD">
        <w:rPr>
          <w:rFonts w:cstheme="minorHAnsi"/>
          <w:sz w:val="24"/>
          <w:szCs w:val="24"/>
          <w:shd w:val="clear" w:color="auto" w:fill="FFFFFF"/>
        </w:rPr>
        <w:t>, e al tentato assassinio del leader comunista </w:t>
      </w:r>
      <w:hyperlink r:id="rId144" w:tooltip="Vladimir Lenin" w:history="1">
        <w:r w:rsidRPr="00667BBD">
          <w:rPr>
            <w:rStyle w:val="Collegamentoipertestuale"/>
            <w:rFonts w:cstheme="minorHAnsi"/>
            <w:color w:val="auto"/>
            <w:sz w:val="24"/>
            <w:szCs w:val="24"/>
            <w:u w:val="none"/>
            <w:shd w:val="clear" w:color="auto" w:fill="FFFFFF"/>
          </w:rPr>
          <w:t>Vladimir Lenin</w:t>
        </w:r>
      </w:hyperlink>
      <w:r w:rsidRPr="00667BBD">
        <w:rPr>
          <w:rFonts w:cstheme="minorHAnsi"/>
          <w:sz w:val="24"/>
          <w:szCs w:val="24"/>
          <w:shd w:val="clear" w:color="auto" w:fill="FFFFFF"/>
        </w:rPr>
        <w:t> da parte di </w:t>
      </w:r>
      <w:hyperlink r:id="rId145" w:tooltip="Fanny Kaplan" w:history="1">
        <w:r w:rsidRPr="00667BBD">
          <w:rPr>
            <w:rStyle w:val="Collegamentoipertestuale"/>
            <w:rFonts w:cstheme="minorHAnsi"/>
            <w:color w:val="auto"/>
            <w:sz w:val="24"/>
            <w:szCs w:val="24"/>
            <w:u w:val="none"/>
            <w:shd w:val="clear" w:color="auto" w:fill="FFFFFF"/>
          </w:rPr>
          <w:t>Fanny Kaplan</w:t>
        </w:r>
      </w:hyperlink>
      <w:r w:rsidRPr="00667BBD">
        <w:rPr>
          <w:rFonts w:cstheme="minorHAnsi"/>
          <w:sz w:val="24"/>
          <w:szCs w:val="24"/>
          <w:shd w:val="clear" w:color="auto" w:fill="FFFFFF"/>
        </w:rPr>
        <w:t>, fatti avvenuti il 30 agosto </w:t>
      </w:r>
      <w:hyperlink r:id="rId146" w:tooltip="1918" w:history="1">
        <w:r w:rsidRPr="00667BBD">
          <w:rPr>
            <w:rStyle w:val="Collegamentoipertestuale"/>
            <w:rFonts w:cstheme="minorHAnsi"/>
            <w:color w:val="auto"/>
            <w:sz w:val="24"/>
            <w:szCs w:val="24"/>
            <w:u w:val="none"/>
            <w:shd w:val="clear" w:color="auto" w:fill="FFFFFF"/>
          </w:rPr>
          <w:t>1918</w:t>
        </w:r>
      </w:hyperlink>
      <w:r w:rsidRPr="00667BBD">
        <w:rPr>
          <w:rFonts w:cstheme="minorHAnsi"/>
          <w:sz w:val="24"/>
          <w:szCs w:val="24"/>
          <w:shd w:val="clear" w:color="auto" w:fill="FFFFFF"/>
        </w:rPr>
        <w:t>.</w:t>
      </w:r>
      <w:r w:rsidRPr="00667BBD">
        <w:rPr>
          <w:rFonts w:ascii="Arial" w:hAnsi="Arial" w:cs="Arial"/>
          <w:color w:val="222222"/>
          <w:sz w:val="14"/>
          <w:szCs w:val="14"/>
          <w:shd w:val="clear" w:color="auto" w:fill="FFFFFF"/>
        </w:rPr>
        <w:t xml:space="preserve"> </w:t>
      </w:r>
      <w:r w:rsidRPr="00667BBD">
        <w:rPr>
          <w:rFonts w:cstheme="minorHAnsi"/>
          <w:sz w:val="24"/>
          <w:szCs w:val="24"/>
          <w:shd w:val="clear" w:color="auto" w:fill="FFFFFF"/>
        </w:rPr>
        <w:t xml:space="preserve">L'ondata repressiva avviata dal governo bolscevico non risparmiò neppure i vecchi alleati nella causa </w:t>
      </w:r>
      <w:r w:rsidRPr="002340B8">
        <w:rPr>
          <w:rFonts w:cstheme="minorHAnsi"/>
          <w:sz w:val="24"/>
          <w:szCs w:val="24"/>
          <w:shd w:val="clear" w:color="auto" w:fill="FFFFFF"/>
        </w:rPr>
        <w:t>rivoluzionaria quali i </w:t>
      </w:r>
      <w:hyperlink r:id="rId147" w:tooltip="Partito Socialista Rivoluzionario (Russia)" w:history="1">
        <w:r w:rsidRPr="002340B8">
          <w:rPr>
            <w:rStyle w:val="Collegamentoipertestuale"/>
            <w:rFonts w:cstheme="minorHAnsi"/>
            <w:color w:val="auto"/>
            <w:sz w:val="24"/>
            <w:szCs w:val="24"/>
            <w:u w:val="none"/>
            <w:shd w:val="clear" w:color="auto" w:fill="FFFFFF"/>
          </w:rPr>
          <w:t>socialrivoluzionari</w:t>
        </w:r>
      </w:hyperlink>
      <w:r w:rsidRPr="002340B8">
        <w:rPr>
          <w:rFonts w:cstheme="minorHAnsi"/>
          <w:sz w:val="24"/>
          <w:szCs w:val="24"/>
          <w:shd w:val="clear" w:color="auto" w:fill="FFFFFF"/>
        </w:rPr>
        <w:t>, progressivamente defilatisi dalle politiche radicali del nuovo regime e responsabili dei sommovimenti anti-bolscevichi del 6-7 luglio (che videro tra l'altro l'attentato all'ambasciatore tedesco Mirbach a Mosca). </w:t>
      </w:r>
      <w:r w:rsidRPr="002340B8">
        <w:rPr>
          <w:rFonts w:cstheme="minorHAnsi"/>
          <w:sz w:val="24"/>
          <w:szCs w:val="24"/>
          <w:shd w:val="clear" w:color="auto" w:fill="FFEAEA"/>
        </w:rPr>
        <w:t>La maggior parte degli storici</w:t>
      </w:r>
      <w:r w:rsidRPr="002340B8">
        <w:rPr>
          <w:rFonts w:cstheme="minorHAnsi"/>
          <w:sz w:val="24"/>
          <w:szCs w:val="24"/>
          <w:shd w:val="clear" w:color="auto" w:fill="FFFFFF"/>
          <w:vertAlign w:val="superscript"/>
        </w:rPr>
        <w:t>[</w:t>
      </w:r>
      <w:hyperlink r:id="rId148" w:tooltip="Wikipedia:Uso delle fonti" w:history="1">
        <w:r w:rsidRPr="002340B8">
          <w:rPr>
            <w:rStyle w:val="Collegamentoipertestuale"/>
            <w:rFonts w:cstheme="minorHAnsi"/>
            <w:i/>
            <w:iCs/>
            <w:color w:val="auto"/>
            <w:sz w:val="24"/>
            <w:szCs w:val="24"/>
            <w:u w:val="none"/>
            <w:shd w:val="clear" w:color="auto" w:fill="FFFFFF"/>
            <w:vertAlign w:val="superscript"/>
          </w:rPr>
          <w:t>senza fonte</w:t>
        </w:r>
      </w:hyperlink>
      <w:r w:rsidRPr="002340B8">
        <w:rPr>
          <w:rFonts w:cstheme="minorHAnsi"/>
          <w:sz w:val="24"/>
          <w:szCs w:val="24"/>
          <w:shd w:val="clear" w:color="auto" w:fill="FFFFFF"/>
          <w:vertAlign w:val="superscript"/>
        </w:rPr>
        <w:t>]</w:t>
      </w:r>
      <w:r w:rsidRPr="002340B8">
        <w:rPr>
          <w:rFonts w:cstheme="minorHAnsi"/>
          <w:sz w:val="24"/>
          <w:szCs w:val="24"/>
          <w:shd w:val="clear" w:color="auto" w:fill="FFFFFF"/>
        </w:rPr>
        <w:t> calcola in oltre 50.000 le esecuzioni compiute fra il 1918 e il 1923.</w:t>
      </w:r>
    </w:p>
  </w:footnote>
  <w:footnote w:id="50">
    <w:p w:rsidR="000B2651" w:rsidRDefault="000B2651" w:rsidP="007F3A37">
      <w:pPr>
        <w:pStyle w:val="Testonotaapidipagina"/>
        <w:jc w:val="both"/>
      </w:pPr>
      <w:r w:rsidRPr="002340B8">
        <w:rPr>
          <w:rStyle w:val="Rimandonotaapidipagina"/>
          <w:rFonts w:cstheme="minorHAnsi"/>
          <w:sz w:val="24"/>
          <w:szCs w:val="24"/>
        </w:rPr>
        <w:footnoteRef/>
      </w:r>
      <w:r w:rsidRPr="002340B8">
        <w:rPr>
          <w:rFonts w:cstheme="minorHAnsi"/>
          <w:sz w:val="24"/>
          <w:szCs w:val="24"/>
        </w:rPr>
        <w:t xml:space="preserve"> </w:t>
      </w:r>
      <w:r w:rsidRPr="002340B8">
        <w:rPr>
          <w:rFonts w:cstheme="minorHAnsi"/>
          <w:sz w:val="24"/>
          <w:szCs w:val="24"/>
          <w:shd w:val="clear" w:color="auto" w:fill="F8F9FA"/>
        </w:rPr>
        <w:t> diplomatici degli Imperi centrali e della Russia al momento della firma. A sinistra, i rappresentanti degli Imperi centrali: </w:t>
      </w:r>
      <w:hyperlink r:id="rId149" w:tooltip="İbrahim Hakkı Pascha (la pagina non esiste)" w:history="1">
        <w:r w:rsidRPr="002340B8">
          <w:rPr>
            <w:rStyle w:val="Collegamentoipertestuale"/>
            <w:rFonts w:cstheme="minorHAnsi"/>
            <w:color w:val="auto"/>
            <w:sz w:val="24"/>
            <w:szCs w:val="24"/>
            <w:u w:val="none"/>
            <w:shd w:val="clear" w:color="auto" w:fill="F8F9FA"/>
          </w:rPr>
          <w:t>Hakki Pascha</w:t>
        </w:r>
      </w:hyperlink>
      <w:r w:rsidRPr="002340B8">
        <w:rPr>
          <w:rFonts w:cstheme="minorHAnsi"/>
          <w:sz w:val="24"/>
          <w:szCs w:val="24"/>
          <w:shd w:val="clear" w:color="auto" w:fill="F8F9FA"/>
        </w:rPr>
        <w:t> (Impero Ottomano), </w:t>
      </w:r>
      <w:hyperlink r:id="rId150" w:tooltip="Kajetan Mérey" w:history="1">
        <w:r w:rsidRPr="002340B8">
          <w:rPr>
            <w:rStyle w:val="Collegamentoipertestuale"/>
            <w:rFonts w:cstheme="minorHAnsi"/>
            <w:color w:val="auto"/>
            <w:sz w:val="24"/>
            <w:szCs w:val="24"/>
            <w:u w:val="none"/>
            <w:shd w:val="clear" w:color="auto" w:fill="F8F9FA"/>
          </w:rPr>
          <w:t>von Merey</w:t>
        </w:r>
      </w:hyperlink>
      <w:r w:rsidRPr="002340B8">
        <w:rPr>
          <w:rFonts w:cstheme="minorHAnsi"/>
          <w:sz w:val="24"/>
          <w:szCs w:val="24"/>
          <w:shd w:val="clear" w:color="auto" w:fill="F8F9FA"/>
        </w:rPr>
        <w:t> (Austria-Ungheria), </w:t>
      </w:r>
      <w:hyperlink r:id="rId151" w:tooltip="Leopoldo di Baviera" w:history="1">
        <w:r w:rsidRPr="002340B8">
          <w:rPr>
            <w:rStyle w:val="Collegamentoipertestuale"/>
            <w:rFonts w:cstheme="minorHAnsi"/>
            <w:color w:val="auto"/>
            <w:sz w:val="24"/>
            <w:szCs w:val="24"/>
            <w:u w:val="none"/>
            <w:shd w:val="clear" w:color="auto" w:fill="F8F9FA"/>
          </w:rPr>
          <w:t>Leopoldo di Baviera</w:t>
        </w:r>
      </w:hyperlink>
      <w:r w:rsidRPr="002340B8">
        <w:rPr>
          <w:rFonts w:cstheme="minorHAnsi"/>
          <w:sz w:val="24"/>
          <w:szCs w:val="24"/>
          <w:shd w:val="clear" w:color="auto" w:fill="F8F9FA"/>
        </w:rPr>
        <w:t> ed il generale Hoffmann (Germania), Oberst Gawtschew (Bulgaria). Alla destra del tavolo, la delegazione sovietica: </w:t>
      </w:r>
      <w:hyperlink r:id="rId152" w:tooltip="" w:history="1">
        <w:r w:rsidRPr="002340B8">
          <w:rPr>
            <w:rStyle w:val="Collegamentoipertestuale"/>
            <w:rFonts w:cstheme="minorHAnsi"/>
            <w:color w:val="auto"/>
            <w:sz w:val="24"/>
            <w:szCs w:val="24"/>
            <w:u w:val="none"/>
            <w:shd w:val="clear" w:color="auto" w:fill="F8F9FA"/>
          </w:rPr>
          <w:t>Lev Kamenev</w:t>
        </w:r>
      </w:hyperlink>
      <w:r w:rsidRPr="002340B8">
        <w:rPr>
          <w:rFonts w:cstheme="minorHAnsi"/>
          <w:sz w:val="24"/>
          <w:szCs w:val="24"/>
          <w:shd w:val="clear" w:color="auto" w:fill="F8F9FA"/>
        </w:rPr>
        <w:t>, Joffe, Bizenko, l'ammiraglio Altfater.</w:t>
      </w:r>
    </w:p>
  </w:footnote>
  <w:footnote w:id="51">
    <w:p w:rsidR="000B2651" w:rsidRDefault="000B2651" w:rsidP="007F3A37">
      <w:pPr>
        <w:pStyle w:val="Testonotaapidipagina"/>
        <w:jc w:val="both"/>
      </w:pPr>
      <w:r w:rsidRPr="00EF2178">
        <w:rPr>
          <w:rStyle w:val="Rimandonotaapidipagina"/>
          <w:rFonts w:cstheme="minorHAnsi"/>
          <w:sz w:val="24"/>
          <w:szCs w:val="24"/>
        </w:rPr>
        <w:footnoteRef/>
      </w:r>
      <w:r w:rsidRPr="00EF2178">
        <w:rPr>
          <w:rFonts w:cstheme="minorHAnsi"/>
          <w:sz w:val="24"/>
          <w:szCs w:val="24"/>
        </w:rPr>
        <w:t xml:space="preserve"> </w:t>
      </w:r>
      <w:r w:rsidRPr="00EF2178">
        <w:rPr>
          <w:rFonts w:cstheme="minorHAnsi"/>
          <w:sz w:val="24"/>
          <w:szCs w:val="24"/>
          <w:shd w:val="clear" w:color="auto" w:fill="F8F9FA"/>
        </w:rPr>
        <w:t>Da sinistra a destra, in piedi: la granduchessa </w:t>
      </w:r>
      <w:hyperlink r:id="rId153" w:tooltip="Marija Nikolaevna Romanova" w:history="1">
        <w:r w:rsidRPr="00EF2178">
          <w:rPr>
            <w:rStyle w:val="Collegamentoipertestuale"/>
            <w:rFonts w:cstheme="minorHAnsi"/>
            <w:color w:val="auto"/>
            <w:sz w:val="24"/>
            <w:szCs w:val="24"/>
            <w:u w:val="none"/>
            <w:shd w:val="clear" w:color="auto" w:fill="F8F9FA"/>
          </w:rPr>
          <w:t>Marija</w:t>
        </w:r>
      </w:hyperlink>
      <w:r w:rsidRPr="00EF2178">
        <w:rPr>
          <w:rFonts w:cstheme="minorHAnsi"/>
          <w:sz w:val="24"/>
          <w:szCs w:val="24"/>
          <w:shd w:val="clear" w:color="auto" w:fill="F8F9FA"/>
        </w:rPr>
        <w:t> e la zarina </w:t>
      </w:r>
      <w:hyperlink r:id="rId154" w:tooltip="" w:history="1">
        <w:r w:rsidRPr="00EF2178">
          <w:rPr>
            <w:rStyle w:val="Collegamentoipertestuale"/>
            <w:rFonts w:cstheme="minorHAnsi"/>
            <w:color w:val="auto"/>
            <w:sz w:val="24"/>
            <w:szCs w:val="24"/>
            <w:u w:val="none"/>
            <w:shd w:val="clear" w:color="auto" w:fill="F8F9FA"/>
          </w:rPr>
          <w:t>Aleksandra Fëdorovna</w:t>
        </w:r>
      </w:hyperlink>
      <w:r w:rsidRPr="00EF2178">
        <w:rPr>
          <w:rFonts w:cstheme="minorHAnsi"/>
          <w:sz w:val="24"/>
          <w:szCs w:val="24"/>
          <w:shd w:val="clear" w:color="auto" w:fill="F8F9FA"/>
        </w:rPr>
        <w:t>; seduti: la granduchessa </w:t>
      </w:r>
      <w:hyperlink r:id="rId155" w:tooltip="Ol'ga Nikolaevna Romanova (1895-1918)" w:history="1">
        <w:r w:rsidRPr="00EF2178">
          <w:rPr>
            <w:rStyle w:val="Collegamentoipertestuale"/>
            <w:rFonts w:cstheme="minorHAnsi"/>
            <w:color w:val="auto"/>
            <w:sz w:val="24"/>
            <w:szCs w:val="24"/>
            <w:u w:val="none"/>
            <w:shd w:val="clear" w:color="auto" w:fill="F8F9FA"/>
          </w:rPr>
          <w:t>Ol'ga</w:t>
        </w:r>
      </w:hyperlink>
      <w:r w:rsidRPr="00EF2178">
        <w:rPr>
          <w:rFonts w:cstheme="minorHAnsi"/>
          <w:sz w:val="24"/>
          <w:szCs w:val="24"/>
          <w:shd w:val="clear" w:color="auto" w:fill="F8F9FA"/>
        </w:rPr>
        <w:t>, lo zar </w:t>
      </w:r>
      <w:hyperlink r:id="rId156" w:tooltip="Nicola II di Russia" w:history="1">
        <w:r w:rsidRPr="00EF2178">
          <w:rPr>
            <w:rStyle w:val="Collegamentoipertestuale"/>
            <w:rFonts w:cstheme="minorHAnsi"/>
            <w:color w:val="auto"/>
            <w:sz w:val="24"/>
            <w:szCs w:val="24"/>
            <w:u w:val="none"/>
            <w:shd w:val="clear" w:color="auto" w:fill="F8F9FA"/>
          </w:rPr>
          <w:t>Nicola II</w:t>
        </w:r>
      </w:hyperlink>
      <w:r w:rsidRPr="00EF2178">
        <w:rPr>
          <w:rFonts w:cstheme="minorHAnsi"/>
          <w:sz w:val="24"/>
          <w:szCs w:val="24"/>
          <w:shd w:val="clear" w:color="auto" w:fill="F8F9FA"/>
        </w:rPr>
        <w:t>, la granduchessa </w:t>
      </w:r>
      <w:hyperlink r:id="rId157" w:tooltip="Anastasija Nikolaevna Romanova" w:history="1">
        <w:r w:rsidRPr="00EF2178">
          <w:rPr>
            <w:rStyle w:val="Collegamentoipertestuale"/>
            <w:rFonts w:cstheme="minorHAnsi"/>
            <w:color w:val="auto"/>
            <w:sz w:val="24"/>
            <w:szCs w:val="24"/>
            <w:u w:val="none"/>
            <w:shd w:val="clear" w:color="auto" w:fill="F8F9FA"/>
          </w:rPr>
          <w:t>Anastasia</w:t>
        </w:r>
      </w:hyperlink>
      <w:r w:rsidRPr="00EF2178">
        <w:rPr>
          <w:rFonts w:cstheme="minorHAnsi"/>
          <w:sz w:val="24"/>
          <w:szCs w:val="24"/>
          <w:shd w:val="clear" w:color="auto" w:fill="F8F9FA"/>
        </w:rPr>
        <w:t>, lo zarevič </w:t>
      </w:r>
      <w:hyperlink r:id="rId158" w:tooltip="Aleksej Nikolaevič Romanov" w:history="1">
        <w:r w:rsidRPr="00EF2178">
          <w:rPr>
            <w:rStyle w:val="Collegamentoipertestuale"/>
            <w:rFonts w:cstheme="minorHAnsi"/>
            <w:color w:val="auto"/>
            <w:sz w:val="24"/>
            <w:szCs w:val="24"/>
            <w:u w:val="none"/>
            <w:shd w:val="clear" w:color="auto" w:fill="F8F9FA"/>
          </w:rPr>
          <w:t>Aleksej</w:t>
        </w:r>
      </w:hyperlink>
      <w:r w:rsidRPr="00EF2178">
        <w:rPr>
          <w:rFonts w:cstheme="minorHAnsi"/>
          <w:sz w:val="24"/>
          <w:szCs w:val="24"/>
          <w:shd w:val="clear" w:color="auto" w:fill="F8F9FA"/>
        </w:rPr>
        <w:t> e la granduchessa </w:t>
      </w:r>
      <w:hyperlink r:id="rId159" w:tooltip="Tat'jana Nikolaevna Romanova" w:history="1">
        <w:r w:rsidRPr="00EF2178">
          <w:rPr>
            <w:rStyle w:val="Collegamentoipertestuale"/>
            <w:rFonts w:cstheme="minorHAnsi"/>
            <w:color w:val="auto"/>
            <w:sz w:val="24"/>
            <w:szCs w:val="24"/>
            <w:u w:val="none"/>
            <w:shd w:val="clear" w:color="auto" w:fill="F8F9FA"/>
          </w:rPr>
          <w:t>Tat'jana</w:t>
        </w:r>
      </w:hyperlink>
      <w:r>
        <w:rPr>
          <w:rFonts w:ascii="Arial" w:hAnsi="Arial" w:cs="Arial"/>
          <w:color w:val="222222"/>
          <w:sz w:val="31"/>
          <w:szCs w:val="31"/>
          <w:shd w:val="clear" w:color="auto" w:fill="F8F9FA"/>
        </w:rPr>
        <w:t>.</w:t>
      </w:r>
    </w:p>
  </w:footnote>
  <w:footnote w:id="52">
    <w:p w:rsidR="000B2651" w:rsidRPr="00231053" w:rsidRDefault="000B2651" w:rsidP="007F3A37">
      <w:pPr>
        <w:pStyle w:val="Testonotaapidipagina"/>
        <w:jc w:val="both"/>
        <w:rPr>
          <w:sz w:val="24"/>
        </w:rPr>
      </w:pPr>
      <w:r>
        <w:rPr>
          <w:rStyle w:val="Rimandonotaapidipagina"/>
        </w:rPr>
        <w:footnoteRef/>
      </w:r>
      <w:r>
        <w:t xml:space="preserve"> </w:t>
      </w:r>
      <w:r>
        <w:rPr>
          <w:sz w:val="24"/>
        </w:rPr>
        <w:t>La Terra ha 40 mila km di circonferenza</w:t>
      </w:r>
    </w:p>
  </w:footnote>
  <w:footnote w:id="53">
    <w:p w:rsidR="000B2651" w:rsidRPr="00D61487" w:rsidRDefault="000B2651" w:rsidP="007F3A37">
      <w:pPr>
        <w:pStyle w:val="Testonotaapidipagina"/>
        <w:jc w:val="both"/>
        <w:rPr>
          <w:sz w:val="24"/>
          <w:u w:val="single"/>
        </w:rPr>
      </w:pPr>
      <w:r>
        <w:rPr>
          <w:rStyle w:val="Rimandonotaapidipagina"/>
        </w:rPr>
        <w:footnoteRef/>
      </w:r>
      <w:r>
        <w:t xml:space="preserve"> </w:t>
      </w:r>
      <w:r>
        <w:rPr>
          <w:sz w:val="24"/>
          <w:u w:val="single"/>
        </w:rPr>
        <w:t>Dario Cositore: La nazionalizzazione completa delle industrie, gestite da collettivi operai, fu il primo passo del comunismo di guerra. Lo strato prendeva inoltre il controllo diretto della produzione agricola, subordinando le strutture latifondiste preesistenti alle proprie esigenze d operando ampie requisizioni di derrate alimentari ai danni dei contadini. Ogni compravendita privata fu vietata e si introdusse il razionamento e un sistema di tessere per il cibo. Queste misure portarono alla nascita di un fiorente mercato nero e al sensibile impoverimento della popolazione urbana. Agli operai fu vietato lo sciopero e fu attuata la militarizzazione del lavoro, con turni di lavoro forzato e soppressione della libertà d’opinione. Nonostante la pena di morte fosse stata abolita dopo l’ottobre 1917, essa fu reintrodotta per il reato di “controrivoluzione” e amplissimi poteri discrezionali furono dati alla Ceka, la polizia politica che divenne simbolo della repressione di quegli anni, la censura fu rafforzata e vennero vietate molte testate anche di ideologia bolscevica. Chi veniva considerato non lavoratore (categoria molto ampia che comprendeva anche i contadini che facessero uso di braccianti sulle proprie terre) era passibile di essere perseguito penalmente</w:t>
      </w:r>
    </w:p>
  </w:footnote>
  <w:footnote w:id="54">
    <w:p w:rsidR="005B703E" w:rsidRPr="005B703E" w:rsidRDefault="005B703E" w:rsidP="005B703E">
      <w:pPr>
        <w:pStyle w:val="NormaleWeb"/>
        <w:shd w:val="clear" w:color="auto" w:fill="FFFFFF"/>
        <w:spacing w:before="120" w:beforeAutospacing="0" w:after="120" w:afterAutospacing="0"/>
        <w:rPr>
          <w:rFonts w:asciiTheme="minorHAnsi" w:hAnsiTheme="minorHAnsi" w:cstheme="minorHAnsi"/>
        </w:rPr>
      </w:pPr>
      <w:r w:rsidRPr="005B703E">
        <w:rPr>
          <w:rStyle w:val="Rimandonotaapidipagina"/>
          <w:rFonts w:asciiTheme="minorHAnsi" w:hAnsiTheme="minorHAnsi" w:cstheme="minorHAnsi"/>
        </w:rPr>
        <w:footnoteRef/>
      </w:r>
      <w:r w:rsidRPr="005B703E">
        <w:rPr>
          <w:rFonts w:asciiTheme="minorHAnsi" w:hAnsiTheme="minorHAnsi" w:cstheme="minorHAnsi"/>
        </w:rPr>
        <w:t xml:space="preserve"> Il termine in cui i Polacchi indicano i fatti dell'agosto 1920 è quello di "</w:t>
      </w:r>
      <w:hyperlink r:id="rId160" w:tooltip="Miracolo" w:history="1">
        <w:r w:rsidRPr="005B703E">
          <w:rPr>
            <w:rStyle w:val="Collegamentoipertestuale"/>
            <w:rFonts w:asciiTheme="minorHAnsi" w:hAnsiTheme="minorHAnsi" w:cstheme="minorHAnsi"/>
            <w:color w:val="auto"/>
            <w:u w:val="none"/>
          </w:rPr>
          <w:t>Miracolo</w:t>
        </w:r>
      </w:hyperlink>
      <w:r w:rsidRPr="005B703E">
        <w:rPr>
          <w:rFonts w:asciiTheme="minorHAnsi" w:hAnsiTheme="minorHAnsi" w:cstheme="minorHAnsi"/>
        </w:rPr>
        <w:t> della Vistola", espressione usata dal generale Haller che, prima dell'offensiva, aveva ordinato un ottavario di preghiere per un successo umanamente insperabile e che dopo il vittorioso scontro aveva usato per manifestare gratitudine alla </w:t>
      </w:r>
      <w:hyperlink r:id="rId161" w:tooltip="Provvidenza" w:history="1">
        <w:r w:rsidRPr="005B703E">
          <w:rPr>
            <w:rStyle w:val="Collegamentoipertestuale"/>
            <w:rFonts w:asciiTheme="minorHAnsi" w:hAnsiTheme="minorHAnsi" w:cstheme="minorHAnsi"/>
            <w:color w:val="auto"/>
            <w:u w:val="none"/>
          </w:rPr>
          <w:t>Provvidenza</w:t>
        </w:r>
      </w:hyperlink>
      <w:r w:rsidRPr="005B703E">
        <w:rPr>
          <w:rFonts w:asciiTheme="minorHAnsi" w:hAnsiTheme="minorHAnsi" w:cstheme="minorHAnsi"/>
        </w:rPr>
        <w:t>.</w:t>
      </w:r>
      <w:r>
        <w:rPr>
          <w:rFonts w:asciiTheme="minorHAnsi" w:hAnsiTheme="minorHAnsi" w:cstheme="minorHAnsi"/>
        </w:rPr>
        <w:t xml:space="preserve"> </w:t>
      </w:r>
      <w:r w:rsidRPr="005B703E">
        <w:rPr>
          <w:rFonts w:asciiTheme="minorHAnsi" w:hAnsiTheme="minorHAnsi" w:cstheme="minorHAnsi"/>
        </w:rPr>
        <w:t>Molti Polacchi considerano la vittoria nella guerra russo-polacca una intercessione della </w:t>
      </w:r>
      <w:hyperlink r:id="rId162" w:tooltip="Vergine nera di Czestochowa" w:history="1">
        <w:r w:rsidRPr="005B703E">
          <w:rPr>
            <w:rStyle w:val="Collegamentoipertestuale"/>
            <w:rFonts w:asciiTheme="minorHAnsi" w:hAnsiTheme="minorHAnsi" w:cstheme="minorHAnsi"/>
            <w:color w:val="auto"/>
            <w:u w:val="none"/>
          </w:rPr>
          <w:t>Madonna Nera di Czestochowa</w:t>
        </w:r>
      </w:hyperlink>
      <w:r w:rsidRPr="005B703E">
        <w:rPr>
          <w:rFonts w:asciiTheme="minorHAnsi" w:hAnsiTheme="minorHAnsi" w:cstheme="minorHAnsi"/>
        </w:rPr>
        <w:t> il cui culto si perde nei secoli; lo scontro venne immortalato come ritratto all'interno del </w:t>
      </w:r>
      <w:hyperlink r:id="rId163" w:tooltip="Santuario della Santa Casa" w:history="1">
        <w:r w:rsidRPr="005B703E">
          <w:rPr>
            <w:rStyle w:val="Collegamentoipertestuale"/>
            <w:rFonts w:asciiTheme="minorHAnsi" w:hAnsiTheme="minorHAnsi" w:cstheme="minorHAnsi"/>
            <w:color w:val="auto"/>
            <w:u w:val="none"/>
          </w:rPr>
          <w:t>Santuario della Santa Casa</w:t>
        </w:r>
      </w:hyperlink>
      <w:r w:rsidRPr="005B703E">
        <w:rPr>
          <w:rFonts w:asciiTheme="minorHAnsi" w:hAnsiTheme="minorHAnsi" w:cstheme="minorHAnsi"/>
        </w:rPr>
        <w:t> di Loreto, nella cappella donata da re </w:t>
      </w:r>
      <w:hyperlink r:id="rId164" w:tooltip="Jan III Sobieski" w:history="1">
        <w:r w:rsidRPr="005B703E">
          <w:rPr>
            <w:rStyle w:val="Collegamentoipertestuale"/>
            <w:rFonts w:asciiTheme="minorHAnsi" w:hAnsiTheme="minorHAnsi" w:cstheme="minorHAnsi"/>
            <w:color w:val="auto"/>
            <w:u w:val="none"/>
          </w:rPr>
          <w:t>Sobieski</w:t>
        </w:r>
      </w:hyperlink>
      <w:r w:rsidRPr="005B703E">
        <w:rPr>
          <w:rFonts w:asciiTheme="minorHAnsi" w:hAnsiTheme="minorHAnsi" w:cstheme="minorHAnsi"/>
        </w:rPr>
        <w:t> in occasione della vittoria sui Turchi nella </w:t>
      </w:r>
      <w:hyperlink r:id="rId165" w:tooltip="Battaglia di Vienna" w:history="1">
        <w:r w:rsidRPr="005B703E">
          <w:rPr>
            <w:rStyle w:val="Collegamentoipertestuale"/>
            <w:rFonts w:asciiTheme="minorHAnsi" w:hAnsiTheme="minorHAnsi" w:cstheme="minorHAnsi"/>
            <w:color w:val="auto"/>
            <w:u w:val="none"/>
          </w:rPr>
          <w:t>battaglia di Vienna</w:t>
        </w:r>
      </w:hyperlink>
      <w:r w:rsidRPr="005B703E">
        <w:rPr>
          <w:rFonts w:asciiTheme="minorHAnsi" w:hAnsiTheme="minorHAnsi" w:cstheme="minorHAnsi"/>
        </w:rPr>
        <w:t>.</w:t>
      </w:r>
    </w:p>
    <w:p w:rsidR="005B703E" w:rsidRDefault="005B703E">
      <w:pPr>
        <w:pStyle w:val="Testonotaapidipagina"/>
      </w:pPr>
    </w:p>
  </w:footnote>
  <w:footnote w:id="55">
    <w:p w:rsidR="00740CB0" w:rsidRPr="00740CB0" w:rsidRDefault="00740CB0">
      <w:pPr>
        <w:pStyle w:val="Testonotaapidipagina"/>
        <w:rPr>
          <w:rFonts w:cstheme="minorHAnsi"/>
          <w:sz w:val="24"/>
          <w:szCs w:val="24"/>
        </w:rPr>
      </w:pPr>
      <w:r w:rsidRPr="00740CB0">
        <w:rPr>
          <w:rStyle w:val="Rimandonotaapidipagina"/>
          <w:rFonts w:cstheme="minorHAnsi"/>
          <w:sz w:val="24"/>
          <w:szCs w:val="24"/>
        </w:rPr>
        <w:footnoteRef/>
      </w:r>
      <w:r w:rsidRPr="00740CB0">
        <w:rPr>
          <w:rFonts w:cstheme="minorHAnsi"/>
          <w:sz w:val="24"/>
          <w:szCs w:val="24"/>
        </w:rPr>
        <w:t xml:space="preserve"> </w:t>
      </w:r>
      <w:r w:rsidRPr="00740CB0">
        <w:rPr>
          <w:rFonts w:cstheme="minorHAnsi"/>
          <w:sz w:val="24"/>
          <w:szCs w:val="24"/>
          <w:shd w:val="clear" w:color="auto" w:fill="F9F9F9"/>
        </w:rPr>
        <w:t>Cartina che mostra i confini al momento dell'assedio di </w:t>
      </w:r>
      <w:hyperlink r:id="rId166" w:tooltip="Leopoli" w:history="1">
        <w:r w:rsidRPr="00740CB0">
          <w:rPr>
            <w:rStyle w:val="Collegamentoipertestuale"/>
            <w:rFonts w:cstheme="minorHAnsi"/>
            <w:color w:val="auto"/>
            <w:sz w:val="24"/>
            <w:szCs w:val="24"/>
            <w:u w:val="none"/>
            <w:shd w:val="clear" w:color="auto" w:fill="F9F9F9"/>
          </w:rPr>
          <w:t>Leopoli</w:t>
        </w:r>
      </w:hyperlink>
      <w:r w:rsidRPr="00740CB0">
        <w:rPr>
          <w:rFonts w:cstheme="minorHAnsi"/>
          <w:sz w:val="24"/>
          <w:szCs w:val="24"/>
          <w:shd w:val="clear" w:color="auto" w:fill="F9F9F9"/>
        </w:rPr>
        <w:t> da parte dei polacchi (novembre </w:t>
      </w:r>
      <w:hyperlink r:id="rId167" w:tooltip="1919" w:history="1">
        <w:r w:rsidRPr="00740CB0">
          <w:rPr>
            <w:rStyle w:val="Collegamentoipertestuale"/>
            <w:rFonts w:cstheme="minorHAnsi"/>
            <w:color w:val="auto"/>
            <w:sz w:val="24"/>
            <w:szCs w:val="24"/>
            <w:u w:val="none"/>
            <w:shd w:val="clear" w:color="auto" w:fill="F9F9F9"/>
          </w:rPr>
          <w:t>1919</w:t>
        </w:r>
      </w:hyperlink>
      <w:r w:rsidRPr="00740CB0">
        <w:rPr>
          <w:rFonts w:cstheme="minorHAnsi"/>
          <w:sz w:val="24"/>
          <w:szCs w:val="24"/>
          <w:shd w:val="clear" w:color="auto" w:fill="F9F9F9"/>
        </w:rPr>
        <w:t>) e il confine polacco al fiume </w:t>
      </w:r>
      <w:hyperlink r:id="rId168" w:tooltip="Zbruč" w:history="1">
        <w:r w:rsidRPr="00740CB0">
          <w:rPr>
            <w:rStyle w:val="Collegamentoipertestuale"/>
            <w:rFonts w:cstheme="minorHAnsi"/>
            <w:color w:val="auto"/>
            <w:sz w:val="24"/>
            <w:szCs w:val="24"/>
            <w:u w:val="none"/>
            <w:shd w:val="clear" w:color="auto" w:fill="F9F9F9"/>
          </w:rPr>
          <w:t>Zbruč</w:t>
        </w:r>
      </w:hyperlink>
      <w:r w:rsidRPr="00740CB0">
        <w:rPr>
          <w:rFonts w:cstheme="minorHAnsi"/>
          <w:sz w:val="24"/>
          <w:szCs w:val="24"/>
          <w:shd w:val="clear" w:color="auto" w:fill="F9F9F9"/>
        </w:rPr>
        <w:t> alla fine della guerra, con la Galizia Orientale (in blu) sotto controllo polacco.</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olo"/>
      <w:id w:val="77738743"/>
      <w:placeholder>
        <w:docPart w:val="D9D5A7959D014B62831762ED2CAE8DAC"/>
      </w:placeholder>
      <w:dataBinding w:prefixMappings="xmlns:ns0='http://schemas.openxmlformats.org/package/2006/metadata/core-properties' xmlns:ns1='http://purl.org/dc/elements/1.1/'" w:xpath="/ns0:coreProperties[1]/ns1:title[1]" w:storeItemID="{6C3C8BC8-F283-45AE-878A-BAB7291924A1}"/>
      <w:text/>
    </w:sdtPr>
    <w:sdtContent>
      <w:p w:rsidR="000B2651" w:rsidRDefault="00250DC4">
        <w:pPr>
          <w:pStyle w:val="Intestazione"/>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Russia Contemporanea 1  Parte </w:t>
        </w:r>
      </w:p>
    </w:sdtContent>
  </w:sdt>
  <w:p w:rsidR="000B2651" w:rsidRDefault="000B2651">
    <w:pPr>
      <w:pStyle w:val="Intestazion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Pr>
      <w:alias w:val="Titolo"/>
      <w:id w:val="294960843"/>
      <w:placeholder>
        <w:docPart w:val="B3081E00C335472BB93F400247344E06"/>
      </w:placeholder>
      <w:dataBinding w:prefixMappings="xmlns:ns0='http://schemas.openxmlformats.org/package/2006/metadata/core-properties' xmlns:ns1='http://purl.org/dc/elements/1.1/'" w:xpath="/ns0:coreProperties[1]/ns1:title[1]" w:storeItemID="{6C3C8BC8-F283-45AE-878A-BAB7291924A1}"/>
      <w:text/>
    </w:sdtPr>
    <w:sdtContent>
      <w:p w:rsidR="000B2651" w:rsidRDefault="00250DC4">
        <w:pPr>
          <w:pStyle w:val="Intestazione"/>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Russia Contemporanea 1  Parte </w:t>
        </w:r>
      </w:p>
    </w:sdtContent>
  </w:sdt>
  <w:p w:rsidR="000B2651" w:rsidRDefault="000B2651">
    <w:pPr>
      <w:pStyle w:val="Intestazione"/>
    </w:pPr>
    <w:sdt>
      <w:sdtPr>
        <w:rPr>
          <w:color w:val="FFFFFF" w:themeColor="background1"/>
          <w:sz w:val="24"/>
        </w:rPr>
        <w:id w:val="294960825"/>
        <w:docPartObj>
          <w:docPartGallery w:val="Page Numbers (Margins)"/>
          <w:docPartUnique/>
        </w:docPartObj>
      </w:sdtPr>
      <w:sdtContent>
        <w:r w:rsidRPr="002624C2">
          <w:rPr>
            <w:noProof/>
            <w:color w:val="FFFFFF" w:themeColor="background1"/>
            <w:sz w:val="24"/>
            <w:lang w:eastAsia="zh-TW"/>
          </w:rPr>
          <w:pict>
            <v:rect id="_x0000_s2052" style="position:absolute;margin-left:0;margin-top:0;width:40.9pt;height:171.9pt;z-index:251662336;mso-position-horizontal:center;mso-position-horizontal-relative:right-margin-area;mso-position-vertical:bottom;mso-position-vertical-relative:margin;v-text-anchor:middle" o:allowincell="f" filled="f" stroked="f">
              <v:textbox style="layout-flow:vertical;mso-layout-flow-alt:bottom-to-top;mso-next-textbox:#_x0000_s2052;mso-fit-shape-to-text:t">
                <w:txbxContent>
                  <w:p w:rsidR="000B2651" w:rsidRDefault="000B2651">
                    <w:pPr>
                      <w:pStyle w:val="Pidipagina"/>
                      <w:rPr>
                        <w:rFonts w:asciiTheme="majorHAnsi" w:hAnsiTheme="majorHAnsi"/>
                        <w:sz w:val="44"/>
                        <w:szCs w:val="44"/>
                      </w:rPr>
                    </w:pPr>
                    <w:r>
                      <w:rPr>
                        <w:rFonts w:asciiTheme="majorHAnsi" w:hAnsiTheme="majorHAnsi"/>
                      </w:rPr>
                      <w:t>Pagina</w:t>
                    </w:r>
                    <w:fldSimple w:instr=" PAGE    \* MERGEFORMAT ">
                      <w:r w:rsidR="00250DC4" w:rsidRPr="00250DC4">
                        <w:rPr>
                          <w:rFonts w:asciiTheme="majorHAnsi" w:hAnsiTheme="majorHAnsi"/>
                          <w:noProof/>
                          <w:sz w:val="44"/>
                          <w:szCs w:val="44"/>
                        </w:rPr>
                        <w:t>4</w:t>
                      </w:r>
                    </w:fldSimple>
                  </w:p>
                </w:txbxContent>
              </v:textbox>
              <w10:wrap anchorx="page" anchory="margin"/>
            </v:rect>
          </w:pict>
        </w:r>
      </w:sdtContent>
    </w:sdt>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0DC4" w:rsidRDefault="00250DC4">
    <w:pPr>
      <w:pStyle w:val="Intestazion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67BC2"/>
    <w:multiLevelType w:val="hybridMultilevel"/>
    <w:tmpl w:val="2EDAAF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01567B4B"/>
    <w:multiLevelType w:val="hybridMultilevel"/>
    <w:tmpl w:val="8C005A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27F64A7"/>
    <w:multiLevelType w:val="hybridMultilevel"/>
    <w:tmpl w:val="5AFCE36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55A0E8B"/>
    <w:multiLevelType w:val="hybridMultilevel"/>
    <w:tmpl w:val="5EC294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056D4F2B"/>
    <w:multiLevelType w:val="hybridMultilevel"/>
    <w:tmpl w:val="E800F7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089F63B9"/>
    <w:multiLevelType w:val="hybridMultilevel"/>
    <w:tmpl w:val="E77E92D6"/>
    <w:lvl w:ilvl="0" w:tplc="04100001">
      <w:start w:val="1"/>
      <w:numFmt w:val="bullet"/>
      <w:lvlText w:val=""/>
      <w:lvlJc w:val="left"/>
      <w:pPr>
        <w:ind w:left="770" w:hanging="360"/>
      </w:pPr>
      <w:rPr>
        <w:rFonts w:ascii="Symbol" w:hAnsi="Symbol"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6">
    <w:nsid w:val="0FC94C7F"/>
    <w:multiLevelType w:val="hybridMultilevel"/>
    <w:tmpl w:val="CD082BBC"/>
    <w:lvl w:ilvl="0" w:tplc="04100001">
      <w:start w:val="1"/>
      <w:numFmt w:val="bullet"/>
      <w:lvlText w:val=""/>
      <w:lvlJc w:val="left"/>
      <w:pPr>
        <w:ind w:left="770" w:hanging="360"/>
      </w:pPr>
      <w:rPr>
        <w:rFonts w:ascii="Symbol" w:hAnsi="Symbol" w:hint="default"/>
      </w:r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7">
    <w:nsid w:val="14C616DE"/>
    <w:multiLevelType w:val="hybridMultilevel"/>
    <w:tmpl w:val="016A7C0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16375DC5"/>
    <w:multiLevelType w:val="hybridMultilevel"/>
    <w:tmpl w:val="440278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168B0ECD"/>
    <w:multiLevelType w:val="hybridMultilevel"/>
    <w:tmpl w:val="0096BF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195A580C"/>
    <w:multiLevelType w:val="hybridMultilevel"/>
    <w:tmpl w:val="FF922D1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1A555A2B"/>
    <w:multiLevelType w:val="hybridMultilevel"/>
    <w:tmpl w:val="E2B4BC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nsid w:val="1AC826CA"/>
    <w:multiLevelType w:val="hybridMultilevel"/>
    <w:tmpl w:val="AE00DBF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nsid w:val="1C075DCE"/>
    <w:multiLevelType w:val="hybridMultilevel"/>
    <w:tmpl w:val="FFB0B5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245B67C2"/>
    <w:multiLevelType w:val="hybridMultilevel"/>
    <w:tmpl w:val="A4943EA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255C60BE"/>
    <w:multiLevelType w:val="hybridMultilevel"/>
    <w:tmpl w:val="298E80F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nsid w:val="285C7BC0"/>
    <w:multiLevelType w:val="hybridMultilevel"/>
    <w:tmpl w:val="A6882F2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298E709F"/>
    <w:multiLevelType w:val="hybridMultilevel"/>
    <w:tmpl w:val="85B88A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8">
    <w:nsid w:val="2C806D8B"/>
    <w:multiLevelType w:val="hybridMultilevel"/>
    <w:tmpl w:val="662AB2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9">
    <w:nsid w:val="31636586"/>
    <w:multiLevelType w:val="hybridMultilevel"/>
    <w:tmpl w:val="102498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nsid w:val="34317739"/>
    <w:multiLevelType w:val="hybridMultilevel"/>
    <w:tmpl w:val="0A72FF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3615790B"/>
    <w:multiLevelType w:val="hybridMultilevel"/>
    <w:tmpl w:val="D7B83FF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nsid w:val="37FE3ECE"/>
    <w:multiLevelType w:val="hybridMultilevel"/>
    <w:tmpl w:val="6FCA0A5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nsid w:val="3B463599"/>
    <w:multiLevelType w:val="hybridMultilevel"/>
    <w:tmpl w:val="CEB2394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nsid w:val="3BD5128C"/>
    <w:multiLevelType w:val="hybridMultilevel"/>
    <w:tmpl w:val="4C8AC3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5">
    <w:nsid w:val="3E34009F"/>
    <w:multiLevelType w:val="hybridMultilevel"/>
    <w:tmpl w:val="F59CF04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460C0F41"/>
    <w:multiLevelType w:val="hybridMultilevel"/>
    <w:tmpl w:val="C194CD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nsid w:val="496F6695"/>
    <w:multiLevelType w:val="hybridMultilevel"/>
    <w:tmpl w:val="70D063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4A1F51B4"/>
    <w:multiLevelType w:val="hybridMultilevel"/>
    <w:tmpl w:val="3AD8EF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nsid w:val="4D02167C"/>
    <w:multiLevelType w:val="hybridMultilevel"/>
    <w:tmpl w:val="80386E48"/>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nsid w:val="4EEC6E8C"/>
    <w:multiLevelType w:val="hybridMultilevel"/>
    <w:tmpl w:val="A0288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1">
    <w:nsid w:val="53AE7884"/>
    <w:multiLevelType w:val="hybridMultilevel"/>
    <w:tmpl w:val="41907E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nsid w:val="57615C54"/>
    <w:multiLevelType w:val="hybridMultilevel"/>
    <w:tmpl w:val="B1FC815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nsid w:val="581D0DCB"/>
    <w:multiLevelType w:val="hybridMultilevel"/>
    <w:tmpl w:val="9C40CA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nsid w:val="5B423E8C"/>
    <w:multiLevelType w:val="hybridMultilevel"/>
    <w:tmpl w:val="7368EDC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5">
    <w:nsid w:val="5C9E6E44"/>
    <w:multiLevelType w:val="hybridMultilevel"/>
    <w:tmpl w:val="F154EE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6">
    <w:nsid w:val="5E0A7198"/>
    <w:multiLevelType w:val="hybridMultilevel"/>
    <w:tmpl w:val="3F12FBE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7">
    <w:nsid w:val="5E832037"/>
    <w:multiLevelType w:val="hybridMultilevel"/>
    <w:tmpl w:val="B68483F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8">
    <w:nsid w:val="5F2137D7"/>
    <w:multiLevelType w:val="hybridMultilevel"/>
    <w:tmpl w:val="E564E4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nsid w:val="5FCC62AA"/>
    <w:multiLevelType w:val="hybridMultilevel"/>
    <w:tmpl w:val="B84E2C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nsid w:val="61316A27"/>
    <w:multiLevelType w:val="hybridMultilevel"/>
    <w:tmpl w:val="33743B4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nsid w:val="619F6355"/>
    <w:multiLevelType w:val="hybridMultilevel"/>
    <w:tmpl w:val="1DAEF23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2">
    <w:nsid w:val="63836908"/>
    <w:multiLevelType w:val="hybridMultilevel"/>
    <w:tmpl w:val="5DAC13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nsid w:val="63C9524C"/>
    <w:multiLevelType w:val="hybridMultilevel"/>
    <w:tmpl w:val="E1BA6194"/>
    <w:lvl w:ilvl="0" w:tplc="04100013">
      <w:start w:val="1"/>
      <w:numFmt w:val="upp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nsid w:val="64E85A64"/>
    <w:multiLevelType w:val="hybridMultilevel"/>
    <w:tmpl w:val="FDE854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nsid w:val="6BBC61A5"/>
    <w:multiLevelType w:val="hybridMultilevel"/>
    <w:tmpl w:val="8190FF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nsid w:val="6D552715"/>
    <w:multiLevelType w:val="hybridMultilevel"/>
    <w:tmpl w:val="41ACC2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nsid w:val="6FC06473"/>
    <w:multiLevelType w:val="hybridMultilevel"/>
    <w:tmpl w:val="D704735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8">
    <w:nsid w:val="70AD6077"/>
    <w:multiLevelType w:val="hybridMultilevel"/>
    <w:tmpl w:val="EB7EDDB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9">
    <w:nsid w:val="73AE3B3C"/>
    <w:multiLevelType w:val="hybridMultilevel"/>
    <w:tmpl w:val="529482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0">
    <w:nsid w:val="74B06835"/>
    <w:multiLevelType w:val="hybridMultilevel"/>
    <w:tmpl w:val="2AA67F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nsid w:val="755C1C21"/>
    <w:multiLevelType w:val="hybridMultilevel"/>
    <w:tmpl w:val="A57C2B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2">
    <w:nsid w:val="766C556F"/>
    <w:multiLevelType w:val="hybridMultilevel"/>
    <w:tmpl w:val="A996746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3">
    <w:nsid w:val="766C5D85"/>
    <w:multiLevelType w:val="hybridMultilevel"/>
    <w:tmpl w:val="1F48690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4">
    <w:nsid w:val="79F15339"/>
    <w:multiLevelType w:val="hybridMultilevel"/>
    <w:tmpl w:val="E402DD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5">
    <w:nsid w:val="7CC84825"/>
    <w:multiLevelType w:val="hybridMultilevel"/>
    <w:tmpl w:val="047092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6">
    <w:nsid w:val="7D766D53"/>
    <w:multiLevelType w:val="hybridMultilevel"/>
    <w:tmpl w:val="B0D445C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nsid w:val="7E0D109D"/>
    <w:multiLevelType w:val="hybridMultilevel"/>
    <w:tmpl w:val="1202394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8">
    <w:nsid w:val="7EF9669A"/>
    <w:multiLevelType w:val="hybridMultilevel"/>
    <w:tmpl w:val="B12210C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6"/>
  </w:num>
  <w:num w:numId="2">
    <w:abstractNumId w:val="17"/>
  </w:num>
  <w:num w:numId="3">
    <w:abstractNumId w:val="13"/>
  </w:num>
  <w:num w:numId="4">
    <w:abstractNumId w:val="15"/>
  </w:num>
  <w:num w:numId="5">
    <w:abstractNumId w:val="25"/>
  </w:num>
  <w:num w:numId="6">
    <w:abstractNumId w:val="14"/>
  </w:num>
  <w:num w:numId="7">
    <w:abstractNumId w:val="1"/>
  </w:num>
  <w:num w:numId="8">
    <w:abstractNumId w:val="7"/>
  </w:num>
  <w:num w:numId="9">
    <w:abstractNumId w:val="48"/>
  </w:num>
  <w:num w:numId="10">
    <w:abstractNumId w:val="44"/>
  </w:num>
  <w:num w:numId="11">
    <w:abstractNumId w:val="21"/>
  </w:num>
  <w:num w:numId="12">
    <w:abstractNumId w:val="12"/>
  </w:num>
  <w:num w:numId="13">
    <w:abstractNumId w:val="22"/>
  </w:num>
  <w:num w:numId="14">
    <w:abstractNumId w:val="42"/>
  </w:num>
  <w:num w:numId="15">
    <w:abstractNumId w:val="39"/>
  </w:num>
  <w:num w:numId="16">
    <w:abstractNumId w:val="24"/>
  </w:num>
  <w:num w:numId="17">
    <w:abstractNumId w:val="5"/>
  </w:num>
  <w:num w:numId="18">
    <w:abstractNumId w:val="0"/>
  </w:num>
  <w:num w:numId="19">
    <w:abstractNumId w:val="52"/>
  </w:num>
  <w:num w:numId="20">
    <w:abstractNumId w:val="11"/>
  </w:num>
  <w:num w:numId="21">
    <w:abstractNumId w:val="30"/>
  </w:num>
  <w:num w:numId="22">
    <w:abstractNumId w:val="27"/>
  </w:num>
  <w:num w:numId="23">
    <w:abstractNumId w:val="28"/>
  </w:num>
  <w:num w:numId="24">
    <w:abstractNumId w:val="18"/>
  </w:num>
  <w:num w:numId="25">
    <w:abstractNumId w:val="4"/>
  </w:num>
  <w:num w:numId="26">
    <w:abstractNumId w:val="2"/>
  </w:num>
  <w:num w:numId="27">
    <w:abstractNumId w:val="35"/>
  </w:num>
  <w:num w:numId="28">
    <w:abstractNumId w:val="46"/>
  </w:num>
  <w:num w:numId="29">
    <w:abstractNumId w:val="26"/>
  </w:num>
  <w:num w:numId="30">
    <w:abstractNumId w:val="37"/>
  </w:num>
  <w:num w:numId="31">
    <w:abstractNumId w:val="58"/>
  </w:num>
  <w:num w:numId="32">
    <w:abstractNumId w:val="29"/>
  </w:num>
  <w:num w:numId="33">
    <w:abstractNumId w:val="55"/>
  </w:num>
  <w:num w:numId="34">
    <w:abstractNumId w:val="38"/>
  </w:num>
  <w:num w:numId="35">
    <w:abstractNumId w:val="45"/>
  </w:num>
  <w:num w:numId="36">
    <w:abstractNumId w:val="8"/>
  </w:num>
  <w:num w:numId="37">
    <w:abstractNumId w:val="49"/>
  </w:num>
  <w:num w:numId="38">
    <w:abstractNumId w:val="23"/>
  </w:num>
  <w:num w:numId="39">
    <w:abstractNumId w:val="54"/>
  </w:num>
  <w:num w:numId="40">
    <w:abstractNumId w:val="53"/>
  </w:num>
  <w:num w:numId="41">
    <w:abstractNumId w:val="50"/>
  </w:num>
  <w:num w:numId="42">
    <w:abstractNumId w:val="9"/>
  </w:num>
  <w:num w:numId="43">
    <w:abstractNumId w:val="19"/>
  </w:num>
  <w:num w:numId="44">
    <w:abstractNumId w:val="3"/>
  </w:num>
  <w:num w:numId="45">
    <w:abstractNumId w:val="20"/>
  </w:num>
  <w:num w:numId="46">
    <w:abstractNumId w:val="43"/>
  </w:num>
  <w:num w:numId="47">
    <w:abstractNumId w:val="36"/>
  </w:num>
  <w:num w:numId="48">
    <w:abstractNumId w:val="34"/>
  </w:num>
  <w:num w:numId="49">
    <w:abstractNumId w:val="32"/>
  </w:num>
  <w:num w:numId="50">
    <w:abstractNumId w:val="47"/>
  </w:num>
  <w:num w:numId="51">
    <w:abstractNumId w:val="51"/>
  </w:num>
  <w:num w:numId="52">
    <w:abstractNumId w:val="41"/>
  </w:num>
  <w:num w:numId="53">
    <w:abstractNumId w:val="33"/>
  </w:num>
  <w:num w:numId="54">
    <w:abstractNumId w:val="56"/>
  </w:num>
  <w:num w:numId="55">
    <w:abstractNumId w:val="6"/>
  </w:num>
  <w:num w:numId="56">
    <w:abstractNumId w:val="57"/>
  </w:num>
  <w:num w:numId="57">
    <w:abstractNumId w:val="10"/>
  </w:num>
  <w:num w:numId="58">
    <w:abstractNumId w:val="40"/>
  </w:num>
  <w:num w:numId="59">
    <w:abstractNumId w:val="31"/>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hyphenationZone w:val="283"/>
  <w:drawingGridHorizontalSpacing w:val="110"/>
  <w:displayHorizontalDrawingGridEvery w:val="2"/>
  <w:characterSpacingControl w:val="doNotCompress"/>
  <w:hdrShapeDefaults>
    <o:shapedefaults v:ext="edit" spidmax="5122"/>
    <o:shapelayout v:ext="edit">
      <o:idmap v:ext="edit" data="2"/>
    </o:shapelayout>
  </w:hdrShapeDefaults>
  <w:footnotePr>
    <w:footnote w:id="0"/>
    <w:footnote w:id="1"/>
  </w:footnotePr>
  <w:endnotePr>
    <w:endnote w:id="0"/>
    <w:endnote w:id="1"/>
  </w:endnotePr>
  <w:compat>
    <w:useFELayout/>
  </w:compat>
  <w:rsids>
    <w:rsidRoot w:val="00FE080B"/>
    <w:rsid w:val="00002060"/>
    <w:rsid w:val="00006094"/>
    <w:rsid w:val="000260AA"/>
    <w:rsid w:val="00026E9A"/>
    <w:rsid w:val="0007324F"/>
    <w:rsid w:val="00077A6D"/>
    <w:rsid w:val="00077FE4"/>
    <w:rsid w:val="00085422"/>
    <w:rsid w:val="00095DF1"/>
    <w:rsid w:val="000B1342"/>
    <w:rsid w:val="000B2651"/>
    <w:rsid w:val="000B430D"/>
    <w:rsid w:val="000B6277"/>
    <w:rsid w:val="000D044F"/>
    <w:rsid w:val="000D3403"/>
    <w:rsid w:val="00112CFF"/>
    <w:rsid w:val="0011425E"/>
    <w:rsid w:val="00135CFB"/>
    <w:rsid w:val="00141E81"/>
    <w:rsid w:val="00153C67"/>
    <w:rsid w:val="00190A57"/>
    <w:rsid w:val="001A0412"/>
    <w:rsid w:val="001A0CE3"/>
    <w:rsid w:val="001A4A5C"/>
    <w:rsid w:val="001B22D2"/>
    <w:rsid w:val="001B727A"/>
    <w:rsid w:val="001C28E8"/>
    <w:rsid w:val="001C4161"/>
    <w:rsid w:val="001D18B5"/>
    <w:rsid w:val="001F5AB2"/>
    <w:rsid w:val="00200F54"/>
    <w:rsid w:val="00204612"/>
    <w:rsid w:val="00213B37"/>
    <w:rsid w:val="00231053"/>
    <w:rsid w:val="00231A65"/>
    <w:rsid w:val="002340B8"/>
    <w:rsid w:val="002365D3"/>
    <w:rsid w:val="00250DC4"/>
    <w:rsid w:val="00251257"/>
    <w:rsid w:val="002624C2"/>
    <w:rsid w:val="0027613E"/>
    <w:rsid w:val="00294FA4"/>
    <w:rsid w:val="002A285D"/>
    <w:rsid w:val="002A4221"/>
    <w:rsid w:val="002C135A"/>
    <w:rsid w:val="002C16C3"/>
    <w:rsid w:val="002C21E1"/>
    <w:rsid w:val="002C458C"/>
    <w:rsid w:val="002E37B6"/>
    <w:rsid w:val="002F1083"/>
    <w:rsid w:val="00304CD3"/>
    <w:rsid w:val="003162BA"/>
    <w:rsid w:val="00325EAB"/>
    <w:rsid w:val="0035594E"/>
    <w:rsid w:val="0036302F"/>
    <w:rsid w:val="0036439D"/>
    <w:rsid w:val="0037272A"/>
    <w:rsid w:val="00383BAC"/>
    <w:rsid w:val="003853A3"/>
    <w:rsid w:val="003A38DE"/>
    <w:rsid w:val="003A5565"/>
    <w:rsid w:val="003A7B7A"/>
    <w:rsid w:val="003C7DCC"/>
    <w:rsid w:val="003D297F"/>
    <w:rsid w:val="003D5107"/>
    <w:rsid w:val="003E119B"/>
    <w:rsid w:val="00415D78"/>
    <w:rsid w:val="00417FCB"/>
    <w:rsid w:val="0043362D"/>
    <w:rsid w:val="00463DB6"/>
    <w:rsid w:val="004713D8"/>
    <w:rsid w:val="00476451"/>
    <w:rsid w:val="00482D62"/>
    <w:rsid w:val="0049331B"/>
    <w:rsid w:val="004A02EC"/>
    <w:rsid w:val="004A6AC8"/>
    <w:rsid w:val="004B040E"/>
    <w:rsid w:val="004B530A"/>
    <w:rsid w:val="004D14A5"/>
    <w:rsid w:val="004D6E2C"/>
    <w:rsid w:val="004D7A7F"/>
    <w:rsid w:val="004F2E80"/>
    <w:rsid w:val="004F6607"/>
    <w:rsid w:val="005014D7"/>
    <w:rsid w:val="00511835"/>
    <w:rsid w:val="00515AA3"/>
    <w:rsid w:val="005173B0"/>
    <w:rsid w:val="00525718"/>
    <w:rsid w:val="005266C2"/>
    <w:rsid w:val="00533B88"/>
    <w:rsid w:val="00535BB9"/>
    <w:rsid w:val="00542F67"/>
    <w:rsid w:val="0054344A"/>
    <w:rsid w:val="00551097"/>
    <w:rsid w:val="005647A0"/>
    <w:rsid w:val="00576418"/>
    <w:rsid w:val="005A2141"/>
    <w:rsid w:val="005A58A7"/>
    <w:rsid w:val="005B2EAA"/>
    <w:rsid w:val="005B703E"/>
    <w:rsid w:val="005C0474"/>
    <w:rsid w:val="005C330A"/>
    <w:rsid w:val="005C44AF"/>
    <w:rsid w:val="005D4C3F"/>
    <w:rsid w:val="005E1915"/>
    <w:rsid w:val="005E4E92"/>
    <w:rsid w:val="005F3CF1"/>
    <w:rsid w:val="00606653"/>
    <w:rsid w:val="006135AF"/>
    <w:rsid w:val="00634E97"/>
    <w:rsid w:val="00653050"/>
    <w:rsid w:val="00653384"/>
    <w:rsid w:val="0066439D"/>
    <w:rsid w:val="00666E12"/>
    <w:rsid w:val="00667BBD"/>
    <w:rsid w:val="006B6D26"/>
    <w:rsid w:val="006E52B6"/>
    <w:rsid w:val="007013D7"/>
    <w:rsid w:val="00701C76"/>
    <w:rsid w:val="00732B50"/>
    <w:rsid w:val="00740CB0"/>
    <w:rsid w:val="00785B36"/>
    <w:rsid w:val="007A3063"/>
    <w:rsid w:val="007C1B7E"/>
    <w:rsid w:val="007D3773"/>
    <w:rsid w:val="007E589F"/>
    <w:rsid w:val="007F04EB"/>
    <w:rsid w:val="007F2681"/>
    <w:rsid w:val="007F2AF5"/>
    <w:rsid w:val="007F3A37"/>
    <w:rsid w:val="007F7825"/>
    <w:rsid w:val="00811F6C"/>
    <w:rsid w:val="008367A6"/>
    <w:rsid w:val="008415D3"/>
    <w:rsid w:val="00845DF0"/>
    <w:rsid w:val="00851646"/>
    <w:rsid w:val="00887818"/>
    <w:rsid w:val="008C4647"/>
    <w:rsid w:val="008D0550"/>
    <w:rsid w:val="008D14AA"/>
    <w:rsid w:val="008E1E88"/>
    <w:rsid w:val="008F0A26"/>
    <w:rsid w:val="008F2688"/>
    <w:rsid w:val="0090101B"/>
    <w:rsid w:val="0090740E"/>
    <w:rsid w:val="0091698B"/>
    <w:rsid w:val="00920107"/>
    <w:rsid w:val="00920D5D"/>
    <w:rsid w:val="009222DE"/>
    <w:rsid w:val="00934C55"/>
    <w:rsid w:val="00942007"/>
    <w:rsid w:val="009A157F"/>
    <w:rsid w:val="009A5ABC"/>
    <w:rsid w:val="009A65A8"/>
    <w:rsid w:val="009B537F"/>
    <w:rsid w:val="009B67E5"/>
    <w:rsid w:val="009B74EA"/>
    <w:rsid w:val="009C0EC2"/>
    <w:rsid w:val="009C69AD"/>
    <w:rsid w:val="009C7E78"/>
    <w:rsid w:val="009D083B"/>
    <w:rsid w:val="009D26F6"/>
    <w:rsid w:val="009D546B"/>
    <w:rsid w:val="009E26C5"/>
    <w:rsid w:val="009F11B8"/>
    <w:rsid w:val="009F34D3"/>
    <w:rsid w:val="00A31866"/>
    <w:rsid w:val="00A32AD1"/>
    <w:rsid w:val="00A55C8C"/>
    <w:rsid w:val="00A7716A"/>
    <w:rsid w:val="00A863D1"/>
    <w:rsid w:val="00A87383"/>
    <w:rsid w:val="00AE27E2"/>
    <w:rsid w:val="00B0516A"/>
    <w:rsid w:val="00B1620B"/>
    <w:rsid w:val="00B21751"/>
    <w:rsid w:val="00B21ACF"/>
    <w:rsid w:val="00B33EA2"/>
    <w:rsid w:val="00B3675B"/>
    <w:rsid w:val="00B37181"/>
    <w:rsid w:val="00B466B5"/>
    <w:rsid w:val="00B77449"/>
    <w:rsid w:val="00B81B0F"/>
    <w:rsid w:val="00B82999"/>
    <w:rsid w:val="00B84003"/>
    <w:rsid w:val="00B84D2A"/>
    <w:rsid w:val="00B87B97"/>
    <w:rsid w:val="00BB216A"/>
    <w:rsid w:val="00BB5924"/>
    <w:rsid w:val="00BC259C"/>
    <w:rsid w:val="00BD27FB"/>
    <w:rsid w:val="00C14FF0"/>
    <w:rsid w:val="00C17808"/>
    <w:rsid w:val="00C26DE4"/>
    <w:rsid w:val="00C475D5"/>
    <w:rsid w:val="00C74B63"/>
    <w:rsid w:val="00C8609E"/>
    <w:rsid w:val="00C93F88"/>
    <w:rsid w:val="00C97F40"/>
    <w:rsid w:val="00CA3EEA"/>
    <w:rsid w:val="00CB2117"/>
    <w:rsid w:val="00CB52E9"/>
    <w:rsid w:val="00CB56C2"/>
    <w:rsid w:val="00CC0410"/>
    <w:rsid w:val="00CC0F56"/>
    <w:rsid w:val="00CC5C1F"/>
    <w:rsid w:val="00CD5B28"/>
    <w:rsid w:val="00CD73E0"/>
    <w:rsid w:val="00CE0260"/>
    <w:rsid w:val="00CF1EC6"/>
    <w:rsid w:val="00D10D79"/>
    <w:rsid w:val="00D2495A"/>
    <w:rsid w:val="00D33F47"/>
    <w:rsid w:val="00D37D71"/>
    <w:rsid w:val="00D41E7F"/>
    <w:rsid w:val="00D4313B"/>
    <w:rsid w:val="00D61023"/>
    <w:rsid w:val="00D61487"/>
    <w:rsid w:val="00D66B65"/>
    <w:rsid w:val="00D704F7"/>
    <w:rsid w:val="00D73147"/>
    <w:rsid w:val="00D80D67"/>
    <w:rsid w:val="00D8599F"/>
    <w:rsid w:val="00D93AC3"/>
    <w:rsid w:val="00D96AD3"/>
    <w:rsid w:val="00DA4C78"/>
    <w:rsid w:val="00DC5497"/>
    <w:rsid w:val="00DC614E"/>
    <w:rsid w:val="00DC79A6"/>
    <w:rsid w:val="00DD6BAD"/>
    <w:rsid w:val="00DE5F19"/>
    <w:rsid w:val="00DF15E6"/>
    <w:rsid w:val="00DF3EF7"/>
    <w:rsid w:val="00E017EB"/>
    <w:rsid w:val="00E05395"/>
    <w:rsid w:val="00E16CAE"/>
    <w:rsid w:val="00E23C06"/>
    <w:rsid w:val="00E23E95"/>
    <w:rsid w:val="00E33835"/>
    <w:rsid w:val="00E433AC"/>
    <w:rsid w:val="00E47422"/>
    <w:rsid w:val="00E650B5"/>
    <w:rsid w:val="00E65707"/>
    <w:rsid w:val="00E70B3D"/>
    <w:rsid w:val="00E723F3"/>
    <w:rsid w:val="00E74CB9"/>
    <w:rsid w:val="00E8029F"/>
    <w:rsid w:val="00E817F2"/>
    <w:rsid w:val="00E922C1"/>
    <w:rsid w:val="00E9279C"/>
    <w:rsid w:val="00E964C1"/>
    <w:rsid w:val="00EE6841"/>
    <w:rsid w:val="00EF0AEB"/>
    <w:rsid w:val="00EF2178"/>
    <w:rsid w:val="00F0785C"/>
    <w:rsid w:val="00F11734"/>
    <w:rsid w:val="00F176A1"/>
    <w:rsid w:val="00F17C55"/>
    <w:rsid w:val="00F34ED5"/>
    <w:rsid w:val="00F35CFB"/>
    <w:rsid w:val="00F37E63"/>
    <w:rsid w:val="00F44CF0"/>
    <w:rsid w:val="00F51BD9"/>
    <w:rsid w:val="00F6166E"/>
    <w:rsid w:val="00F630EF"/>
    <w:rsid w:val="00F65281"/>
    <w:rsid w:val="00F82238"/>
    <w:rsid w:val="00FC4615"/>
    <w:rsid w:val="00FD601E"/>
    <w:rsid w:val="00FE080B"/>
    <w:rsid w:val="00FF6EF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624C2"/>
  </w:style>
  <w:style w:type="paragraph" w:styleId="Titolo1">
    <w:name w:val="heading 1"/>
    <w:basedOn w:val="Normale"/>
    <w:next w:val="Normale"/>
    <w:link w:val="Titolo1Carattere"/>
    <w:uiPriority w:val="9"/>
    <w:qFormat/>
    <w:rsid w:val="00F6528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2">
    <w:name w:val="heading 2"/>
    <w:basedOn w:val="Normale"/>
    <w:next w:val="Normale"/>
    <w:link w:val="Titolo2Carattere"/>
    <w:uiPriority w:val="9"/>
    <w:unhideWhenUsed/>
    <w:qFormat/>
    <w:rsid w:val="0035594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link w:val="NessunaspaziaturaCarattere"/>
    <w:uiPriority w:val="1"/>
    <w:qFormat/>
    <w:rsid w:val="00FE080B"/>
    <w:pPr>
      <w:spacing w:after="0" w:line="240" w:lineRule="auto"/>
    </w:pPr>
    <w:rPr>
      <w:lang w:eastAsia="en-US"/>
    </w:rPr>
  </w:style>
  <w:style w:type="character" w:customStyle="1" w:styleId="NessunaspaziaturaCarattere">
    <w:name w:val="Nessuna spaziatura Carattere"/>
    <w:basedOn w:val="Carpredefinitoparagrafo"/>
    <w:link w:val="Nessunaspaziatura"/>
    <w:uiPriority w:val="1"/>
    <w:rsid w:val="00FE080B"/>
    <w:rPr>
      <w:lang w:eastAsia="en-US"/>
    </w:rPr>
  </w:style>
  <w:style w:type="paragraph" w:styleId="Testofumetto">
    <w:name w:val="Balloon Text"/>
    <w:basedOn w:val="Normale"/>
    <w:link w:val="TestofumettoCarattere"/>
    <w:uiPriority w:val="99"/>
    <w:semiHidden/>
    <w:unhideWhenUsed/>
    <w:rsid w:val="00FE080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FE080B"/>
    <w:rPr>
      <w:rFonts w:ascii="Tahoma" w:hAnsi="Tahoma" w:cs="Tahoma"/>
      <w:sz w:val="16"/>
      <w:szCs w:val="16"/>
    </w:rPr>
  </w:style>
  <w:style w:type="paragraph" w:styleId="Testonotaapidipagina">
    <w:name w:val="footnote text"/>
    <w:basedOn w:val="Normale"/>
    <w:link w:val="TestonotaapidipaginaCarattere"/>
    <w:uiPriority w:val="99"/>
    <w:semiHidden/>
    <w:unhideWhenUsed/>
    <w:rsid w:val="00F65281"/>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F65281"/>
    <w:rPr>
      <w:sz w:val="20"/>
      <w:szCs w:val="20"/>
    </w:rPr>
  </w:style>
  <w:style w:type="character" w:styleId="Rimandonotaapidipagina">
    <w:name w:val="footnote reference"/>
    <w:basedOn w:val="Carpredefinitoparagrafo"/>
    <w:uiPriority w:val="99"/>
    <w:semiHidden/>
    <w:unhideWhenUsed/>
    <w:rsid w:val="00F65281"/>
    <w:rPr>
      <w:vertAlign w:val="superscript"/>
    </w:rPr>
  </w:style>
  <w:style w:type="character" w:customStyle="1" w:styleId="Titolo1Carattere">
    <w:name w:val="Titolo 1 Carattere"/>
    <w:basedOn w:val="Carpredefinitoparagrafo"/>
    <w:link w:val="Titolo1"/>
    <w:uiPriority w:val="9"/>
    <w:rsid w:val="00F65281"/>
    <w:rPr>
      <w:rFonts w:asciiTheme="majorHAnsi" w:eastAsiaTheme="majorEastAsia" w:hAnsiTheme="majorHAnsi" w:cstheme="majorBidi"/>
      <w:b/>
      <w:bCs/>
      <w:color w:val="365F91" w:themeColor="accent1" w:themeShade="BF"/>
      <w:sz w:val="28"/>
      <w:szCs w:val="28"/>
    </w:rPr>
  </w:style>
  <w:style w:type="paragraph" w:styleId="Titolosommario">
    <w:name w:val="TOC Heading"/>
    <w:basedOn w:val="Titolo1"/>
    <w:next w:val="Normale"/>
    <w:uiPriority w:val="39"/>
    <w:semiHidden/>
    <w:unhideWhenUsed/>
    <w:qFormat/>
    <w:rsid w:val="00F65281"/>
    <w:pPr>
      <w:outlineLvl w:val="9"/>
    </w:pPr>
    <w:rPr>
      <w:lang w:eastAsia="en-US"/>
    </w:rPr>
  </w:style>
  <w:style w:type="paragraph" w:styleId="Paragrafoelenco">
    <w:name w:val="List Paragraph"/>
    <w:basedOn w:val="Normale"/>
    <w:uiPriority w:val="34"/>
    <w:qFormat/>
    <w:rsid w:val="00B1620B"/>
    <w:pPr>
      <w:ind w:left="720"/>
      <w:contextualSpacing/>
    </w:pPr>
  </w:style>
  <w:style w:type="paragraph" w:styleId="NormaleWeb">
    <w:name w:val="Normal (Web)"/>
    <w:basedOn w:val="Normale"/>
    <w:uiPriority w:val="99"/>
    <w:unhideWhenUsed/>
    <w:rsid w:val="00304CD3"/>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304CD3"/>
    <w:rPr>
      <w:color w:val="0000FF"/>
      <w:u w:val="single"/>
    </w:rPr>
  </w:style>
  <w:style w:type="character" w:customStyle="1" w:styleId="Titolo2Carattere">
    <w:name w:val="Titolo 2 Carattere"/>
    <w:basedOn w:val="Carpredefinitoparagrafo"/>
    <w:link w:val="Titolo2"/>
    <w:uiPriority w:val="9"/>
    <w:rsid w:val="0035594E"/>
    <w:rPr>
      <w:rFonts w:asciiTheme="majorHAnsi" w:eastAsiaTheme="majorEastAsia" w:hAnsiTheme="majorHAnsi" w:cstheme="majorBidi"/>
      <w:b/>
      <w:bCs/>
      <w:color w:val="4F81BD" w:themeColor="accent1"/>
      <w:sz w:val="26"/>
      <w:szCs w:val="26"/>
    </w:rPr>
  </w:style>
  <w:style w:type="table" w:styleId="Grigliatabella">
    <w:name w:val="Table Grid"/>
    <w:basedOn w:val="Tabellanormale"/>
    <w:uiPriority w:val="59"/>
    <w:rsid w:val="00C74B6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Intestazione">
    <w:name w:val="header"/>
    <w:basedOn w:val="Normale"/>
    <w:link w:val="IntestazioneCarattere"/>
    <w:uiPriority w:val="99"/>
    <w:unhideWhenUsed/>
    <w:rsid w:val="002C135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C135A"/>
  </w:style>
  <w:style w:type="paragraph" w:styleId="Pidipagina">
    <w:name w:val="footer"/>
    <w:basedOn w:val="Normale"/>
    <w:link w:val="PidipaginaCarattere"/>
    <w:uiPriority w:val="99"/>
    <w:unhideWhenUsed/>
    <w:rsid w:val="002C135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C135A"/>
  </w:style>
  <w:style w:type="paragraph" w:styleId="Sommario1">
    <w:name w:val="toc 1"/>
    <w:basedOn w:val="Normale"/>
    <w:next w:val="Normale"/>
    <w:autoRedefine/>
    <w:uiPriority w:val="39"/>
    <w:unhideWhenUsed/>
    <w:rsid w:val="009F11B8"/>
    <w:pPr>
      <w:spacing w:after="100"/>
    </w:pPr>
  </w:style>
  <w:style w:type="paragraph" w:styleId="Sommario2">
    <w:name w:val="toc 2"/>
    <w:basedOn w:val="Normale"/>
    <w:next w:val="Normale"/>
    <w:autoRedefine/>
    <w:uiPriority w:val="39"/>
    <w:unhideWhenUsed/>
    <w:rsid w:val="009F11B8"/>
    <w:pPr>
      <w:spacing w:after="100"/>
      <w:ind w:left="220"/>
    </w:pPr>
  </w:style>
  <w:style w:type="character" w:customStyle="1" w:styleId="noprint">
    <w:name w:val="noprint"/>
    <w:basedOn w:val="Carpredefinitoparagrafo"/>
    <w:rsid w:val="00026E9A"/>
  </w:style>
  <w:style w:type="character" w:customStyle="1" w:styleId="unicode">
    <w:name w:val="unicode"/>
    <w:basedOn w:val="Carpredefinitoparagrafo"/>
    <w:rsid w:val="00026E9A"/>
  </w:style>
  <w:style w:type="character" w:customStyle="1" w:styleId="ipa">
    <w:name w:val="ipa"/>
    <w:basedOn w:val="Carpredefinitoparagrafo"/>
    <w:rsid w:val="007C1B7E"/>
  </w:style>
  <w:style w:type="character" w:customStyle="1" w:styleId="toctoggle">
    <w:name w:val="toctoggle"/>
    <w:basedOn w:val="Carpredefinitoparagrafo"/>
    <w:rsid w:val="0011425E"/>
  </w:style>
  <w:style w:type="character" w:customStyle="1" w:styleId="tocnumber">
    <w:name w:val="tocnumber"/>
    <w:basedOn w:val="Carpredefinitoparagrafo"/>
    <w:rsid w:val="0011425E"/>
  </w:style>
  <w:style w:type="character" w:customStyle="1" w:styleId="toctext">
    <w:name w:val="toctext"/>
    <w:basedOn w:val="Carpredefinitoparagrafo"/>
    <w:rsid w:val="0011425E"/>
  </w:style>
  <w:style w:type="character" w:customStyle="1" w:styleId="mw-headline">
    <w:name w:val="mw-headline"/>
    <w:basedOn w:val="Carpredefinitoparagrafo"/>
    <w:rsid w:val="0011425E"/>
  </w:style>
  <w:style w:type="character" w:customStyle="1" w:styleId="mw-editsection">
    <w:name w:val="mw-editsection"/>
    <w:basedOn w:val="Carpredefinitoparagrafo"/>
    <w:rsid w:val="0011425E"/>
  </w:style>
  <w:style w:type="character" w:customStyle="1" w:styleId="mw-editsection-bracket">
    <w:name w:val="mw-editsection-bracket"/>
    <w:basedOn w:val="Carpredefinitoparagrafo"/>
    <w:rsid w:val="0011425E"/>
  </w:style>
  <w:style w:type="character" w:customStyle="1" w:styleId="mw-editsection-divider">
    <w:name w:val="mw-editsection-divider"/>
    <w:basedOn w:val="Carpredefinitoparagrafo"/>
    <w:rsid w:val="0011425E"/>
  </w:style>
</w:styles>
</file>

<file path=word/webSettings.xml><?xml version="1.0" encoding="utf-8"?>
<w:webSettings xmlns:r="http://schemas.openxmlformats.org/officeDocument/2006/relationships" xmlns:w="http://schemas.openxmlformats.org/wordprocessingml/2006/main">
  <w:divs>
    <w:div w:id="62946985">
      <w:bodyDiv w:val="1"/>
      <w:marLeft w:val="0"/>
      <w:marRight w:val="0"/>
      <w:marTop w:val="0"/>
      <w:marBottom w:val="0"/>
      <w:divBdr>
        <w:top w:val="none" w:sz="0" w:space="0" w:color="auto"/>
        <w:left w:val="none" w:sz="0" w:space="0" w:color="auto"/>
        <w:bottom w:val="none" w:sz="0" w:space="0" w:color="auto"/>
        <w:right w:val="none" w:sz="0" w:space="0" w:color="auto"/>
      </w:divBdr>
    </w:div>
    <w:div w:id="1337809455">
      <w:bodyDiv w:val="1"/>
      <w:marLeft w:val="0"/>
      <w:marRight w:val="0"/>
      <w:marTop w:val="0"/>
      <w:marBottom w:val="0"/>
      <w:divBdr>
        <w:top w:val="none" w:sz="0" w:space="0" w:color="auto"/>
        <w:left w:val="none" w:sz="0" w:space="0" w:color="auto"/>
        <w:bottom w:val="none" w:sz="0" w:space="0" w:color="auto"/>
        <w:right w:val="none" w:sz="0" w:space="0" w:color="auto"/>
      </w:divBdr>
      <w:divsChild>
        <w:div w:id="455833187">
          <w:marLeft w:val="0"/>
          <w:marRight w:val="0"/>
          <w:marTop w:val="0"/>
          <w:marBottom w:val="0"/>
          <w:divBdr>
            <w:top w:val="single" w:sz="6" w:space="5" w:color="A2A9B1"/>
            <w:left w:val="single" w:sz="6" w:space="5" w:color="A2A9B1"/>
            <w:bottom w:val="single" w:sz="6" w:space="5" w:color="A2A9B1"/>
            <w:right w:val="single" w:sz="6" w:space="5" w:color="A2A9B1"/>
          </w:divBdr>
        </w:div>
      </w:divsChild>
    </w:div>
    <w:div w:id="1467234805">
      <w:bodyDiv w:val="1"/>
      <w:marLeft w:val="0"/>
      <w:marRight w:val="0"/>
      <w:marTop w:val="0"/>
      <w:marBottom w:val="0"/>
      <w:divBdr>
        <w:top w:val="none" w:sz="0" w:space="0" w:color="auto"/>
        <w:left w:val="none" w:sz="0" w:space="0" w:color="auto"/>
        <w:bottom w:val="none" w:sz="0" w:space="0" w:color="auto"/>
        <w:right w:val="none" w:sz="0" w:space="0" w:color="auto"/>
      </w:divBdr>
    </w:div>
    <w:div w:id="1486387067">
      <w:bodyDiv w:val="1"/>
      <w:marLeft w:val="0"/>
      <w:marRight w:val="0"/>
      <w:marTop w:val="0"/>
      <w:marBottom w:val="0"/>
      <w:divBdr>
        <w:top w:val="none" w:sz="0" w:space="0" w:color="auto"/>
        <w:left w:val="none" w:sz="0" w:space="0" w:color="auto"/>
        <w:bottom w:val="none" w:sz="0" w:space="0" w:color="auto"/>
        <w:right w:val="none" w:sz="0" w:space="0" w:color="auto"/>
      </w:divBdr>
    </w:div>
    <w:div w:id="1512641543">
      <w:bodyDiv w:val="1"/>
      <w:marLeft w:val="0"/>
      <w:marRight w:val="0"/>
      <w:marTop w:val="0"/>
      <w:marBottom w:val="0"/>
      <w:divBdr>
        <w:top w:val="none" w:sz="0" w:space="0" w:color="auto"/>
        <w:left w:val="none" w:sz="0" w:space="0" w:color="auto"/>
        <w:bottom w:val="none" w:sz="0" w:space="0" w:color="auto"/>
        <w:right w:val="none" w:sz="0" w:space="0" w:color="auto"/>
      </w:divBdr>
    </w:div>
    <w:div w:id="1657034754">
      <w:bodyDiv w:val="1"/>
      <w:marLeft w:val="0"/>
      <w:marRight w:val="0"/>
      <w:marTop w:val="0"/>
      <w:marBottom w:val="0"/>
      <w:divBdr>
        <w:top w:val="none" w:sz="0" w:space="0" w:color="auto"/>
        <w:left w:val="none" w:sz="0" w:space="0" w:color="auto"/>
        <w:bottom w:val="none" w:sz="0" w:space="0" w:color="auto"/>
        <w:right w:val="none" w:sz="0" w:space="0" w:color="auto"/>
      </w:divBdr>
    </w:div>
    <w:div w:id="1897814598">
      <w:bodyDiv w:val="1"/>
      <w:marLeft w:val="0"/>
      <w:marRight w:val="0"/>
      <w:marTop w:val="0"/>
      <w:marBottom w:val="0"/>
      <w:divBdr>
        <w:top w:val="none" w:sz="0" w:space="0" w:color="auto"/>
        <w:left w:val="none" w:sz="0" w:space="0" w:color="auto"/>
        <w:bottom w:val="none" w:sz="0" w:space="0" w:color="auto"/>
        <w:right w:val="none" w:sz="0" w:space="0" w:color="auto"/>
      </w:divBdr>
    </w:div>
    <w:div w:id="209042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9.jpeg"/><Relationship Id="rId21" Type="http://schemas.openxmlformats.org/officeDocument/2006/relationships/image" Target="media/image13.jpeg"/><Relationship Id="rId42" Type="http://schemas.openxmlformats.org/officeDocument/2006/relationships/image" Target="media/image34.jpeg"/><Relationship Id="rId63" Type="http://schemas.openxmlformats.org/officeDocument/2006/relationships/image" Target="media/image55.jpeg"/><Relationship Id="rId84" Type="http://schemas.openxmlformats.org/officeDocument/2006/relationships/image" Target="media/image76.jpeg"/><Relationship Id="rId138" Type="http://schemas.openxmlformats.org/officeDocument/2006/relationships/image" Target="media/image126.jpeg"/><Relationship Id="rId159" Type="http://schemas.openxmlformats.org/officeDocument/2006/relationships/image" Target="media/image147.jpeg"/><Relationship Id="rId170" Type="http://schemas.openxmlformats.org/officeDocument/2006/relationships/image" Target="media/image158.jpeg"/><Relationship Id="rId191" Type="http://schemas.openxmlformats.org/officeDocument/2006/relationships/image" Target="media/image179.jpeg"/><Relationship Id="rId205" Type="http://schemas.openxmlformats.org/officeDocument/2006/relationships/image" Target="media/image193.jpeg"/><Relationship Id="rId226" Type="http://schemas.openxmlformats.org/officeDocument/2006/relationships/footer" Target="footer1.xml"/><Relationship Id="rId107" Type="http://schemas.openxmlformats.org/officeDocument/2006/relationships/image" Target="media/image99.jpeg"/><Relationship Id="rId11" Type="http://schemas.openxmlformats.org/officeDocument/2006/relationships/image" Target="media/image3.jpeg"/><Relationship Id="rId32" Type="http://schemas.openxmlformats.org/officeDocument/2006/relationships/image" Target="media/image24.jpeg"/><Relationship Id="rId53" Type="http://schemas.openxmlformats.org/officeDocument/2006/relationships/image" Target="media/image45.jpeg"/><Relationship Id="rId74" Type="http://schemas.openxmlformats.org/officeDocument/2006/relationships/image" Target="media/image66.jpeg"/><Relationship Id="rId128" Type="http://schemas.openxmlformats.org/officeDocument/2006/relationships/image" Target="media/image120.jpeg"/><Relationship Id="rId149" Type="http://schemas.openxmlformats.org/officeDocument/2006/relationships/image" Target="media/image137.jpeg"/><Relationship Id="rId5" Type="http://schemas.openxmlformats.org/officeDocument/2006/relationships/settings" Target="settings.xml"/><Relationship Id="rId95" Type="http://schemas.openxmlformats.org/officeDocument/2006/relationships/image" Target="media/image87.jpeg"/><Relationship Id="rId160" Type="http://schemas.openxmlformats.org/officeDocument/2006/relationships/image" Target="media/image148.jpeg"/><Relationship Id="rId181" Type="http://schemas.openxmlformats.org/officeDocument/2006/relationships/image" Target="media/image169.jpeg"/><Relationship Id="rId216" Type="http://schemas.openxmlformats.org/officeDocument/2006/relationships/image" Target="media/image204.jpeg"/><Relationship Id="rId22" Type="http://schemas.openxmlformats.org/officeDocument/2006/relationships/image" Target="media/image14.jpeg"/><Relationship Id="rId27" Type="http://schemas.openxmlformats.org/officeDocument/2006/relationships/image" Target="media/image19.jpeg"/><Relationship Id="rId43" Type="http://schemas.openxmlformats.org/officeDocument/2006/relationships/image" Target="media/image35.png"/><Relationship Id="rId48" Type="http://schemas.openxmlformats.org/officeDocument/2006/relationships/image" Target="media/image40.jpeg"/><Relationship Id="rId64" Type="http://schemas.openxmlformats.org/officeDocument/2006/relationships/image" Target="media/image56.jpeg"/><Relationship Id="rId69" Type="http://schemas.openxmlformats.org/officeDocument/2006/relationships/image" Target="media/image61.jpeg"/><Relationship Id="rId113" Type="http://schemas.openxmlformats.org/officeDocument/2006/relationships/image" Target="media/image105.png"/><Relationship Id="rId118" Type="http://schemas.openxmlformats.org/officeDocument/2006/relationships/image" Target="media/image110.jpeg"/><Relationship Id="rId134" Type="http://schemas.openxmlformats.org/officeDocument/2006/relationships/diagramLayout" Target="diagrams/layout1.xml"/><Relationship Id="rId139" Type="http://schemas.openxmlformats.org/officeDocument/2006/relationships/image" Target="media/image127.jpeg"/><Relationship Id="rId80" Type="http://schemas.openxmlformats.org/officeDocument/2006/relationships/image" Target="media/image72.jpeg"/><Relationship Id="rId85" Type="http://schemas.openxmlformats.org/officeDocument/2006/relationships/image" Target="media/image77.jpeg"/><Relationship Id="rId150" Type="http://schemas.openxmlformats.org/officeDocument/2006/relationships/image" Target="media/image138.jpeg"/><Relationship Id="rId155" Type="http://schemas.openxmlformats.org/officeDocument/2006/relationships/image" Target="media/image143.jpeg"/><Relationship Id="rId171" Type="http://schemas.openxmlformats.org/officeDocument/2006/relationships/image" Target="media/image159.jpeg"/><Relationship Id="rId176" Type="http://schemas.openxmlformats.org/officeDocument/2006/relationships/image" Target="media/image164.jpeg"/><Relationship Id="rId192" Type="http://schemas.openxmlformats.org/officeDocument/2006/relationships/image" Target="media/image180.gif"/><Relationship Id="rId197" Type="http://schemas.openxmlformats.org/officeDocument/2006/relationships/image" Target="media/image185.jpeg"/><Relationship Id="rId206" Type="http://schemas.openxmlformats.org/officeDocument/2006/relationships/image" Target="media/image194.jpeg"/><Relationship Id="rId227" Type="http://schemas.openxmlformats.org/officeDocument/2006/relationships/footer" Target="footer2.xml"/><Relationship Id="rId201" Type="http://schemas.openxmlformats.org/officeDocument/2006/relationships/image" Target="media/image189.jpeg"/><Relationship Id="rId222" Type="http://schemas.openxmlformats.org/officeDocument/2006/relationships/image" Target="media/image210.png"/><Relationship Id="rId12" Type="http://schemas.openxmlformats.org/officeDocument/2006/relationships/image" Target="media/image4.png"/><Relationship Id="rId17" Type="http://schemas.openxmlformats.org/officeDocument/2006/relationships/image" Target="media/image9.png"/><Relationship Id="rId33" Type="http://schemas.openxmlformats.org/officeDocument/2006/relationships/image" Target="media/image25.png"/><Relationship Id="rId38" Type="http://schemas.openxmlformats.org/officeDocument/2006/relationships/image" Target="media/image30.jpeg"/><Relationship Id="rId59" Type="http://schemas.openxmlformats.org/officeDocument/2006/relationships/image" Target="media/image51.jpeg"/><Relationship Id="rId103" Type="http://schemas.openxmlformats.org/officeDocument/2006/relationships/image" Target="media/image95.jpeg"/><Relationship Id="rId108" Type="http://schemas.openxmlformats.org/officeDocument/2006/relationships/image" Target="media/image100.jpeg"/><Relationship Id="rId124" Type="http://schemas.openxmlformats.org/officeDocument/2006/relationships/image" Target="media/image116.png"/><Relationship Id="rId129" Type="http://schemas.openxmlformats.org/officeDocument/2006/relationships/image" Target="media/image121.jpeg"/><Relationship Id="rId54" Type="http://schemas.openxmlformats.org/officeDocument/2006/relationships/image" Target="media/image46.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3.png"/><Relationship Id="rId96" Type="http://schemas.openxmlformats.org/officeDocument/2006/relationships/image" Target="media/image88.jpeg"/><Relationship Id="rId140" Type="http://schemas.openxmlformats.org/officeDocument/2006/relationships/image" Target="media/image128.jpeg"/><Relationship Id="rId145" Type="http://schemas.openxmlformats.org/officeDocument/2006/relationships/image" Target="media/image133.jpeg"/><Relationship Id="rId161" Type="http://schemas.openxmlformats.org/officeDocument/2006/relationships/image" Target="media/image149.jpeg"/><Relationship Id="rId166" Type="http://schemas.openxmlformats.org/officeDocument/2006/relationships/image" Target="media/image154.jpeg"/><Relationship Id="rId182" Type="http://schemas.openxmlformats.org/officeDocument/2006/relationships/image" Target="media/image170.jpeg"/><Relationship Id="rId187" Type="http://schemas.openxmlformats.org/officeDocument/2006/relationships/image" Target="media/image175.jpeg"/><Relationship Id="rId217" Type="http://schemas.openxmlformats.org/officeDocument/2006/relationships/image" Target="media/image205.jpeg"/><Relationship Id="rId1" Type="http://schemas.openxmlformats.org/officeDocument/2006/relationships/customXml" Target="../customXml/item1.xml"/><Relationship Id="rId6" Type="http://schemas.openxmlformats.org/officeDocument/2006/relationships/webSettings" Target="webSettings.xml"/><Relationship Id="rId212" Type="http://schemas.openxmlformats.org/officeDocument/2006/relationships/image" Target="media/image200.jpeg"/><Relationship Id="rId23" Type="http://schemas.openxmlformats.org/officeDocument/2006/relationships/image" Target="media/image15.jpeg"/><Relationship Id="rId28" Type="http://schemas.openxmlformats.org/officeDocument/2006/relationships/image" Target="media/image20.jpeg"/><Relationship Id="rId49" Type="http://schemas.openxmlformats.org/officeDocument/2006/relationships/image" Target="media/image41.jpeg"/><Relationship Id="rId114" Type="http://schemas.openxmlformats.org/officeDocument/2006/relationships/image" Target="media/image106.jpeg"/><Relationship Id="rId119" Type="http://schemas.openxmlformats.org/officeDocument/2006/relationships/image" Target="media/image111.jpeg"/><Relationship Id="rId44" Type="http://schemas.openxmlformats.org/officeDocument/2006/relationships/image" Target="media/image36.jpeg"/><Relationship Id="rId60" Type="http://schemas.openxmlformats.org/officeDocument/2006/relationships/image" Target="media/image52.jpeg"/><Relationship Id="rId65" Type="http://schemas.openxmlformats.org/officeDocument/2006/relationships/image" Target="media/image57.jpeg"/><Relationship Id="rId81" Type="http://schemas.openxmlformats.org/officeDocument/2006/relationships/image" Target="media/image73.jpeg"/><Relationship Id="rId86" Type="http://schemas.openxmlformats.org/officeDocument/2006/relationships/image" Target="media/image78.gif"/><Relationship Id="rId130" Type="http://schemas.openxmlformats.org/officeDocument/2006/relationships/image" Target="media/image122.png"/><Relationship Id="rId135" Type="http://schemas.openxmlformats.org/officeDocument/2006/relationships/diagramQuickStyle" Target="diagrams/quickStyle1.xml"/><Relationship Id="rId151" Type="http://schemas.openxmlformats.org/officeDocument/2006/relationships/image" Target="media/image139.jpeg"/><Relationship Id="rId156" Type="http://schemas.openxmlformats.org/officeDocument/2006/relationships/image" Target="media/image144.jpeg"/><Relationship Id="rId177" Type="http://schemas.openxmlformats.org/officeDocument/2006/relationships/image" Target="media/image165.jpeg"/><Relationship Id="rId198" Type="http://schemas.openxmlformats.org/officeDocument/2006/relationships/image" Target="media/image186.jpeg"/><Relationship Id="rId172" Type="http://schemas.openxmlformats.org/officeDocument/2006/relationships/image" Target="media/image160.jpeg"/><Relationship Id="rId193" Type="http://schemas.openxmlformats.org/officeDocument/2006/relationships/image" Target="media/image181.jpeg"/><Relationship Id="rId202" Type="http://schemas.openxmlformats.org/officeDocument/2006/relationships/image" Target="media/image190.jpeg"/><Relationship Id="rId207" Type="http://schemas.openxmlformats.org/officeDocument/2006/relationships/image" Target="media/image195.jpeg"/><Relationship Id="rId223" Type="http://schemas.openxmlformats.org/officeDocument/2006/relationships/image" Target="media/image211.png"/><Relationship Id="rId228" Type="http://schemas.openxmlformats.org/officeDocument/2006/relationships/header" Target="header3.xml"/><Relationship Id="rId13" Type="http://schemas.openxmlformats.org/officeDocument/2006/relationships/image" Target="media/image5.png"/><Relationship Id="rId18" Type="http://schemas.openxmlformats.org/officeDocument/2006/relationships/image" Target="media/image10.png"/><Relationship Id="rId39" Type="http://schemas.openxmlformats.org/officeDocument/2006/relationships/image" Target="media/image31.jpeg"/><Relationship Id="rId109" Type="http://schemas.openxmlformats.org/officeDocument/2006/relationships/image" Target="media/image101.jpeg"/><Relationship Id="rId34" Type="http://schemas.openxmlformats.org/officeDocument/2006/relationships/image" Target="media/image26.jpeg"/><Relationship Id="rId50" Type="http://schemas.openxmlformats.org/officeDocument/2006/relationships/image" Target="media/image42.jpeg"/><Relationship Id="rId55" Type="http://schemas.openxmlformats.org/officeDocument/2006/relationships/image" Target="media/image47.jpeg"/><Relationship Id="rId76" Type="http://schemas.openxmlformats.org/officeDocument/2006/relationships/image" Target="media/image68.jpeg"/><Relationship Id="rId97" Type="http://schemas.openxmlformats.org/officeDocument/2006/relationships/image" Target="media/image89.jpeg"/><Relationship Id="rId104" Type="http://schemas.openxmlformats.org/officeDocument/2006/relationships/image" Target="media/image96.jpeg"/><Relationship Id="rId120" Type="http://schemas.openxmlformats.org/officeDocument/2006/relationships/image" Target="media/image112.png"/><Relationship Id="rId125" Type="http://schemas.openxmlformats.org/officeDocument/2006/relationships/image" Target="media/image117.jpeg"/><Relationship Id="rId141" Type="http://schemas.openxmlformats.org/officeDocument/2006/relationships/image" Target="media/image129.jpeg"/><Relationship Id="rId146" Type="http://schemas.openxmlformats.org/officeDocument/2006/relationships/image" Target="media/image134.jpeg"/><Relationship Id="rId167" Type="http://schemas.openxmlformats.org/officeDocument/2006/relationships/image" Target="media/image155.jpeg"/><Relationship Id="rId188" Type="http://schemas.openxmlformats.org/officeDocument/2006/relationships/image" Target="media/image176.png"/><Relationship Id="rId7" Type="http://schemas.openxmlformats.org/officeDocument/2006/relationships/footnotes" Target="footnotes.xml"/><Relationship Id="rId71" Type="http://schemas.openxmlformats.org/officeDocument/2006/relationships/image" Target="media/image63.jpeg"/><Relationship Id="rId92" Type="http://schemas.openxmlformats.org/officeDocument/2006/relationships/image" Target="media/image84.jpeg"/><Relationship Id="rId162" Type="http://schemas.openxmlformats.org/officeDocument/2006/relationships/image" Target="media/image150.jpeg"/><Relationship Id="rId183" Type="http://schemas.openxmlformats.org/officeDocument/2006/relationships/image" Target="media/image171.jpeg"/><Relationship Id="rId213" Type="http://schemas.openxmlformats.org/officeDocument/2006/relationships/image" Target="media/image201.jpeg"/><Relationship Id="rId218" Type="http://schemas.openxmlformats.org/officeDocument/2006/relationships/image" Target="media/image206.png"/><Relationship Id="rId2" Type="http://schemas.openxmlformats.org/officeDocument/2006/relationships/customXml" Target="../customXml/item2.xml"/><Relationship Id="rId29" Type="http://schemas.openxmlformats.org/officeDocument/2006/relationships/image" Target="media/image21.png"/><Relationship Id="rId24" Type="http://schemas.openxmlformats.org/officeDocument/2006/relationships/image" Target="media/image16.jpeg"/><Relationship Id="rId40" Type="http://schemas.openxmlformats.org/officeDocument/2006/relationships/image" Target="media/image32.jpeg"/><Relationship Id="rId45" Type="http://schemas.openxmlformats.org/officeDocument/2006/relationships/image" Target="media/image37.jpeg"/><Relationship Id="rId66" Type="http://schemas.openxmlformats.org/officeDocument/2006/relationships/image" Target="media/image58.jpeg"/><Relationship Id="rId87" Type="http://schemas.openxmlformats.org/officeDocument/2006/relationships/image" Target="media/image79.jpeg"/><Relationship Id="rId110" Type="http://schemas.openxmlformats.org/officeDocument/2006/relationships/image" Target="media/image102.jpeg"/><Relationship Id="rId115" Type="http://schemas.openxmlformats.org/officeDocument/2006/relationships/image" Target="media/image107.jpeg"/><Relationship Id="rId131" Type="http://schemas.openxmlformats.org/officeDocument/2006/relationships/image" Target="media/image123.png"/><Relationship Id="rId136" Type="http://schemas.openxmlformats.org/officeDocument/2006/relationships/diagramColors" Target="diagrams/colors1.xml"/><Relationship Id="rId157" Type="http://schemas.openxmlformats.org/officeDocument/2006/relationships/image" Target="media/image145.jpeg"/><Relationship Id="rId178" Type="http://schemas.openxmlformats.org/officeDocument/2006/relationships/image" Target="media/image166.jpeg"/><Relationship Id="rId61" Type="http://schemas.openxmlformats.org/officeDocument/2006/relationships/image" Target="media/image53.jpeg"/><Relationship Id="rId82" Type="http://schemas.openxmlformats.org/officeDocument/2006/relationships/image" Target="media/image74.png"/><Relationship Id="rId152" Type="http://schemas.openxmlformats.org/officeDocument/2006/relationships/image" Target="media/image140.gif"/><Relationship Id="rId173" Type="http://schemas.openxmlformats.org/officeDocument/2006/relationships/image" Target="media/image161.jpeg"/><Relationship Id="rId194" Type="http://schemas.openxmlformats.org/officeDocument/2006/relationships/image" Target="media/image182.jpeg"/><Relationship Id="rId199" Type="http://schemas.openxmlformats.org/officeDocument/2006/relationships/image" Target="media/image187.jpeg"/><Relationship Id="rId203" Type="http://schemas.openxmlformats.org/officeDocument/2006/relationships/image" Target="media/image191.jpeg"/><Relationship Id="rId208" Type="http://schemas.openxmlformats.org/officeDocument/2006/relationships/image" Target="media/image196.jpeg"/><Relationship Id="rId229" Type="http://schemas.openxmlformats.org/officeDocument/2006/relationships/footer" Target="footer3.xml"/><Relationship Id="rId19" Type="http://schemas.openxmlformats.org/officeDocument/2006/relationships/image" Target="media/image11.jpeg"/><Relationship Id="rId224" Type="http://schemas.openxmlformats.org/officeDocument/2006/relationships/header" Target="header1.xml"/><Relationship Id="rId14" Type="http://schemas.openxmlformats.org/officeDocument/2006/relationships/image" Target="media/image6.jpeg"/><Relationship Id="rId30" Type="http://schemas.openxmlformats.org/officeDocument/2006/relationships/image" Target="media/image22.jpeg"/><Relationship Id="rId35" Type="http://schemas.openxmlformats.org/officeDocument/2006/relationships/image" Target="media/image27.jpeg"/><Relationship Id="rId56" Type="http://schemas.openxmlformats.org/officeDocument/2006/relationships/image" Target="media/image48.jpeg"/><Relationship Id="rId77" Type="http://schemas.openxmlformats.org/officeDocument/2006/relationships/image" Target="media/image69.jpeg"/><Relationship Id="rId100" Type="http://schemas.openxmlformats.org/officeDocument/2006/relationships/image" Target="media/image92.jpeg"/><Relationship Id="rId105" Type="http://schemas.openxmlformats.org/officeDocument/2006/relationships/image" Target="media/image97.jpeg"/><Relationship Id="rId126" Type="http://schemas.openxmlformats.org/officeDocument/2006/relationships/image" Target="media/image118.png"/><Relationship Id="rId147" Type="http://schemas.openxmlformats.org/officeDocument/2006/relationships/image" Target="media/image135.jpeg"/><Relationship Id="rId168" Type="http://schemas.openxmlformats.org/officeDocument/2006/relationships/image" Target="media/image156.jpeg"/><Relationship Id="rId8" Type="http://schemas.openxmlformats.org/officeDocument/2006/relationships/endnotes" Target="endnotes.xml"/><Relationship Id="rId51" Type="http://schemas.openxmlformats.org/officeDocument/2006/relationships/image" Target="media/image43.jpeg"/><Relationship Id="rId72" Type="http://schemas.openxmlformats.org/officeDocument/2006/relationships/image" Target="media/image64.jpeg"/><Relationship Id="rId93" Type="http://schemas.openxmlformats.org/officeDocument/2006/relationships/image" Target="media/image85.jpeg"/><Relationship Id="rId98" Type="http://schemas.openxmlformats.org/officeDocument/2006/relationships/image" Target="media/image90.jpeg"/><Relationship Id="rId121" Type="http://schemas.openxmlformats.org/officeDocument/2006/relationships/image" Target="media/image113.jpeg"/><Relationship Id="rId142" Type="http://schemas.openxmlformats.org/officeDocument/2006/relationships/image" Target="media/image130.jpeg"/><Relationship Id="rId163" Type="http://schemas.openxmlformats.org/officeDocument/2006/relationships/image" Target="media/image151.jpeg"/><Relationship Id="rId184" Type="http://schemas.openxmlformats.org/officeDocument/2006/relationships/image" Target="media/image172.jpeg"/><Relationship Id="rId189" Type="http://schemas.openxmlformats.org/officeDocument/2006/relationships/image" Target="media/image177.jpeg"/><Relationship Id="rId219" Type="http://schemas.openxmlformats.org/officeDocument/2006/relationships/image" Target="media/image207.png"/><Relationship Id="rId3" Type="http://schemas.openxmlformats.org/officeDocument/2006/relationships/numbering" Target="numbering.xml"/><Relationship Id="rId214" Type="http://schemas.openxmlformats.org/officeDocument/2006/relationships/image" Target="media/image202.jpeg"/><Relationship Id="rId230" Type="http://schemas.openxmlformats.org/officeDocument/2006/relationships/fontTable" Target="fontTable.xml"/><Relationship Id="rId25" Type="http://schemas.openxmlformats.org/officeDocument/2006/relationships/image" Target="media/image17.jpeg"/><Relationship Id="rId46" Type="http://schemas.openxmlformats.org/officeDocument/2006/relationships/image" Target="media/image38.jpeg"/><Relationship Id="rId67" Type="http://schemas.openxmlformats.org/officeDocument/2006/relationships/image" Target="media/image59.jpeg"/><Relationship Id="rId116" Type="http://schemas.openxmlformats.org/officeDocument/2006/relationships/image" Target="media/image108.jpeg"/><Relationship Id="rId137" Type="http://schemas.openxmlformats.org/officeDocument/2006/relationships/image" Target="media/image125.jpeg"/><Relationship Id="rId158" Type="http://schemas.openxmlformats.org/officeDocument/2006/relationships/image" Target="media/image146.jpeg"/><Relationship Id="rId20" Type="http://schemas.openxmlformats.org/officeDocument/2006/relationships/image" Target="media/image12.png"/><Relationship Id="rId41" Type="http://schemas.openxmlformats.org/officeDocument/2006/relationships/image" Target="media/image33.jpeg"/><Relationship Id="rId62" Type="http://schemas.openxmlformats.org/officeDocument/2006/relationships/image" Target="media/image54.jpeg"/><Relationship Id="rId83" Type="http://schemas.openxmlformats.org/officeDocument/2006/relationships/image" Target="media/image75.png"/><Relationship Id="rId88" Type="http://schemas.openxmlformats.org/officeDocument/2006/relationships/image" Target="media/image80.jpeg"/><Relationship Id="rId111" Type="http://schemas.openxmlformats.org/officeDocument/2006/relationships/image" Target="media/image103.jpeg"/><Relationship Id="rId132" Type="http://schemas.openxmlformats.org/officeDocument/2006/relationships/image" Target="media/image124.png"/><Relationship Id="rId153" Type="http://schemas.openxmlformats.org/officeDocument/2006/relationships/image" Target="media/image141.jpeg"/><Relationship Id="rId174" Type="http://schemas.openxmlformats.org/officeDocument/2006/relationships/image" Target="media/image162.png"/><Relationship Id="rId179" Type="http://schemas.openxmlformats.org/officeDocument/2006/relationships/image" Target="media/image167.jpeg"/><Relationship Id="rId195" Type="http://schemas.openxmlformats.org/officeDocument/2006/relationships/image" Target="media/image183.jpeg"/><Relationship Id="rId209" Type="http://schemas.openxmlformats.org/officeDocument/2006/relationships/image" Target="media/image197.jpeg"/><Relationship Id="rId190" Type="http://schemas.openxmlformats.org/officeDocument/2006/relationships/image" Target="media/image178.jpeg"/><Relationship Id="rId204" Type="http://schemas.openxmlformats.org/officeDocument/2006/relationships/image" Target="media/image192.gif"/><Relationship Id="rId220" Type="http://schemas.openxmlformats.org/officeDocument/2006/relationships/image" Target="media/image208.jpeg"/><Relationship Id="rId225" Type="http://schemas.openxmlformats.org/officeDocument/2006/relationships/header" Target="header2.xml"/><Relationship Id="rId15" Type="http://schemas.openxmlformats.org/officeDocument/2006/relationships/image" Target="media/image7.jpeg"/><Relationship Id="rId36" Type="http://schemas.openxmlformats.org/officeDocument/2006/relationships/image" Target="media/image28.jpeg"/><Relationship Id="rId57" Type="http://schemas.openxmlformats.org/officeDocument/2006/relationships/image" Target="media/image49.jpeg"/><Relationship Id="rId106" Type="http://schemas.openxmlformats.org/officeDocument/2006/relationships/image" Target="media/image98.jpeg"/><Relationship Id="rId127" Type="http://schemas.openxmlformats.org/officeDocument/2006/relationships/image" Target="media/image119.jpeg"/><Relationship Id="rId10" Type="http://schemas.openxmlformats.org/officeDocument/2006/relationships/image" Target="media/image2.jpeg"/><Relationship Id="rId31" Type="http://schemas.openxmlformats.org/officeDocument/2006/relationships/image" Target="media/image23.jpeg"/><Relationship Id="rId52" Type="http://schemas.openxmlformats.org/officeDocument/2006/relationships/image" Target="media/image44.jpeg"/><Relationship Id="rId73" Type="http://schemas.openxmlformats.org/officeDocument/2006/relationships/image" Target="media/image65.jpeg"/><Relationship Id="rId78" Type="http://schemas.openxmlformats.org/officeDocument/2006/relationships/image" Target="media/image70.jpeg"/><Relationship Id="rId94" Type="http://schemas.openxmlformats.org/officeDocument/2006/relationships/image" Target="media/image86.jpeg"/><Relationship Id="rId99" Type="http://schemas.openxmlformats.org/officeDocument/2006/relationships/image" Target="media/image91.jpeg"/><Relationship Id="rId101" Type="http://schemas.openxmlformats.org/officeDocument/2006/relationships/image" Target="media/image93.jpeg"/><Relationship Id="rId122" Type="http://schemas.openxmlformats.org/officeDocument/2006/relationships/image" Target="media/image114.jpeg"/><Relationship Id="rId143" Type="http://schemas.openxmlformats.org/officeDocument/2006/relationships/image" Target="media/image131.jpeg"/><Relationship Id="rId148" Type="http://schemas.openxmlformats.org/officeDocument/2006/relationships/image" Target="media/image136.png"/><Relationship Id="rId164" Type="http://schemas.openxmlformats.org/officeDocument/2006/relationships/image" Target="media/image152.jpeg"/><Relationship Id="rId169" Type="http://schemas.openxmlformats.org/officeDocument/2006/relationships/image" Target="media/image157.jpeg"/><Relationship Id="rId185" Type="http://schemas.openxmlformats.org/officeDocument/2006/relationships/image" Target="media/image173.jpeg"/><Relationship Id="rId4" Type="http://schemas.openxmlformats.org/officeDocument/2006/relationships/styles" Target="styles.xml"/><Relationship Id="rId9" Type="http://schemas.openxmlformats.org/officeDocument/2006/relationships/image" Target="media/image1.jpeg"/><Relationship Id="rId180" Type="http://schemas.openxmlformats.org/officeDocument/2006/relationships/image" Target="media/image168.jpeg"/><Relationship Id="rId210" Type="http://schemas.openxmlformats.org/officeDocument/2006/relationships/image" Target="media/image198.jpeg"/><Relationship Id="rId215" Type="http://schemas.openxmlformats.org/officeDocument/2006/relationships/image" Target="media/image203.jpeg"/><Relationship Id="rId26" Type="http://schemas.openxmlformats.org/officeDocument/2006/relationships/image" Target="media/image18.jpeg"/><Relationship Id="rId231" Type="http://schemas.openxmlformats.org/officeDocument/2006/relationships/glossaryDocument" Target="glossary/document.xml"/><Relationship Id="rId47" Type="http://schemas.openxmlformats.org/officeDocument/2006/relationships/image" Target="media/image39.jpeg"/><Relationship Id="rId68" Type="http://schemas.openxmlformats.org/officeDocument/2006/relationships/image" Target="media/image60.jpeg"/><Relationship Id="rId89" Type="http://schemas.openxmlformats.org/officeDocument/2006/relationships/image" Target="media/image81.jpeg"/><Relationship Id="rId112" Type="http://schemas.openxmlformats.org/officeDocument/2006/relationships/image" Target="media/image104.jpeg"/><Relationship Id="rId133" Type="http://schemas.openxmlformats.org/officeDocument/2006/relationships/diagramData" Target="diagrams/data1.xml"/><Relationship Id="rId154" Type="http://schemas.openxmlformats.org/officeDocument/2006/relationships/image" Target="media/image142.jpeg"/><Relationship Id="rId175" Type="http://schemas.openxmlformats.org/officeDocument/2006/relationships/image" Target="media/image163.jpeg"/><Relationship Id="rId196" Type="http://schemas.openxmlformats.org/officeDocument/2006/relationships/image" Target="media/image184.jpeg"/><Relationship Id="rId200" Type="http://schemas.openxmlformats.org/officeDocument/2006/relationships/image" Target="media/image188.jpeg"/><Relationship Id="rId16" Type="http://schemas.openxmlformats.org/officeDocument/2006/relationships/image" Target="media/image8.jpeg"/><Relationship Id="rId221" Type="http://schemas.openxmlformats.org/officeDocument/2006/relationships/image" Target="media/image209.png"/><Relationship Id="rId37" Type="http://schemas.openxmlformats.org/officeDocument/2006/relationships/image" Target="media/image29.png"/><Relationship Id="rId58" Type="http://schemas.openxmlformats.org/officeDocument/2006/relationships/image" Target="media/image50.jpeg"/><Relationship Id="rId79" Type="http://schemas.openxmlformats.org/officeDocument/2006/relationships/image" Target="media/image71.jpeg"/><Relationship Id="rId102" Type="http://schemas.openxmlformats.org/officeDocument/2006/relationships/image" Target="media/image94.jpeg"/><Relationship Id="rId123" Type="http://schemas.openxmlformats.org/officeDocument/2006/relationships/image" Target="media/image115.jpeg"/><Relationship Id="rId144" Type="http://schemas.openxmlformats.org/officeDocument/2006/relationships/image" Target="media/image132.jpeg"/><Relationship Id="rId90" Type="http://schemas.openxmlformats.org/officeDocument/2006/relationships/image" Target="media/image82.jpeg"/><Relationship Id="rId165" Type="http://schemas.openxmlformats.org/officeDocument/2006/relationships/image" Target="media/image153.jpeg"/><Relationship Id="rId186" Type="http://schemas.openxmlformats.org/officeDocument/2006/relationships/image" Target="media/image174.jpeg"/><Relationship Id="rId211" Type="http://schemas.openxmlformats.org/officeDocument/2006/relationships/image" Target="media/image199.jpeg"/><Relationship Id="rId232" Type="http://schemas.openxmlformats.org/officeDocument/2006/relationships/theme" Target="theme/theme1.xml"/></Relationships>
</file>

<file path=word/_rels/footnotes.xml.rels><?xml version="1.0" encoding="UTF-8" standalone="yes"?>
<Relationships xmlns="http://schemas.openxmlformats.org/package/2006/relationships"><Relationship Id="rId26" Type="http://schemas.openxmlformats.org/officeDocument/2006/relationships/hyperlink" Target="https://it.wikipedia.org/wiki/Regno_di_Prussia" TargetMode="External"/><Relationship Id="rId117" Type="http://schemas.openxmlformats.org/officeDocument/2006/relationships/hyperlink" Target="https://it.wikipedia.org/wiki/Terza_Repubblica_francese" TargetMode="External"/><Relationship Id="rId21" Type="http://schemas.openxmlformats.org/officeDocument/2006/relationships/hyperlink" Target="https://it.wikipedia.org/wiki/Esercito_imperiale_russo" TargetMode="External"/><Relationship Id="rId42" Type="http://schemas.openxmlformats.org/officeDocument/2006/relationships/hyperlink" Target="https://it.wikipedia.org/wiki/Mar_Mediterraneo" TargetMode="External"/><Relationship Id="rId47" Type="http://schemas.openxmlformats.org/officeDocument/2006/relationships/hyperlink" Target="https://it.wikipedia.org/wiki/Sebastopoli" TargetMode="External"/><Relationship Id="rId63" Type="http://schemas.openxmlformats.org/officeDocument/2006/relationships/hyperlink" Target="https://it.wikipedia.org/wiki/Regno_di_Romania" TargetMode="External"/><Relationship Id="rId68" Type="http://schemas.openxmlformats.org/officeDocument/2006/relationships/hyperlink" Target="https://it.wikipedia.org/wiki/Mar_Giallo" TargetMode="External"/><Relationship Id="rId84" Type="http://schemas.openxmlformats.org/officeDocument/2006/relationships/hyperlink" Target="https://it.wikipedia.org/wiki/Lingua_russa" TargetMode="External"/><Relationship Id="rId89" Type="http://schemas.openxmlformats.org/officeDocument/2006/relationships/hyperlink" Target="https://it.wikipedia.org/wiki/RSFS_Russa" TargetMode="External"/><Relationship Id="rId112" Type="http://schemas.openxmlformats.org/officeDocument/2006/relationships/hyperlink" Target="https://it.wikipedia.org/wiki/Bulgaria" TargetMode="External"/><Relationship Id="rId133" Type="http://schemas.openxmlformats.org/officeDocument/2006/relationships/hyperlink" Target="https://it.wikipedia.org/wiki/Pena_di_morte" TargetMode="External"/><Relationship Id="rId138" Type="http://schemas.openxmlformats.org/officeDocument/2006/relationships/hyperlink" Target="https://it.wikipedia.org/wiki/Guerra_civile_russa" TargetMode="External"/><Relationship Id="rId154" Type="http://schemas.openxmlformats.org/officeDocument/2006/relationships/hyperlink" Target="https://it.wikipedia.org/wiki/Aleksandra_F%C3%ABdorovna_Romanova" TargetMode="External"/><Relationship Id="rId159" Type="http://schemas.openxmlformats.org/officeDocument/2006/relationships/hyperlink" Target="https://it.wikipedia.org/wiki/Tat%27jana_Nikolaevna_Romanova" TargetMode="External"/><Relationship Id="rId16" Type="http://schemas.openxmlformats.org/officeDocument/2006/relationships/hyperlink" Target="https://it.wikipedia.org/wiki/Fisco" TargetMode="External"/><Relationship Id="rId107" Type="http://schemas.openxmlformats.org/officeDocument/2006/relationships/hyperlink" Target="https://it.wikipedia.org/wiki/Bolscevichi" TargetMode="External"/><Relationship Id="rId11" Type="http://schemas.openxmlformats.org/officeDocument/2006/relationships/hyperlink" Target="https://it.wikipedia.org/wiki/1855" TargetMode="External"/><Relationship Id="rId32" Type="http://schemas.openxmlformats.org/officeDocument/2006/relationships/hyperlink" Target="https://it.wikipedia.org/wiki/Guerra" TargetMode="External"/><Relationship Id="rId37" Type="http://schemas.openxmlformats.org/officeDocument/2006/relationships/hyperlink" Target="https://it.wikipedia.org/wiki/Secondo_Impero_francese" TargetMode="External"/><Relationship Id="rId53" Type="http://schemas.openxmlformats.org/officeDocument/2006/relationships/hyperlink" Target="https://it.wikipedia.org/wiki/Congresso_di_Parigi" TargetMode="External"/><Relationship Id="rId58" Type="http://schemas.openxmlformats.org/officeDocument/2006/relationships/hyperlink" Target="https://it.wikipedia.org/wiki/Impero_russo" TargetMode="External"/><Relationship Id="rId74" Type="http://schemas.openxmlformats.org/officeDocument/2006/relationships/hyperlink" Target="https://it.wikipedia.org/wiki/Guardia_imperiale_(Russia)" TargetMode="External"/><Relationship Id="rId79" Type="http://schemas.openxmlformats.org/officeDocument/2006/relationships/hyperlink" Target="https://it.wikipedia.org/wiki/Ochrana" TargetMode="External"/><Relationship Id="rId102" Type="http://schemas.openxmlformats.org/officeDocument/2006/relationships/hyperlink" Target="https://it.wikipedia.org/wiki/Rivoluzione_di_Febbraio" TargetMode="External"/><Relationship Id="rId123" Type="http://schemas.openxmlformats.org/officeDocument/2006/relationships/hyperlink" Target="https://it.wikipedia.org/wiki/Nicola_II_di_Russia" TargetMode="External"/><Relationship Id="rId128" Type="http://schemas.openxmlformats.org/officeDocument/2006/relationships/hyperlink" Target="https://it.wikipedia.org/wiki/Achille_Beltrame" TargetMode="External"/><Relationship Id="rId144" Type="http://schemas.openxmlformats.org/officeDocument/2006/relationships/hyperlink" Target="https://it.wikipedia.org/wiki/Vladimir_Lenin" TargetMode="External"/><Relationship Id="rId149" Type="http://schemas.openxmlformats.org/officeDocument/2006/relationships/hyperlink" Target="https://it.wikipedia.org/w/index.php?title=%C4%B0brahim_Hakk%C4%B1_Pascha&amp;action=edit&amp;redlink=1" TargetMode="External"/><Relationship Id="rId5" Type="http://schemas.openxmlformats.org/officeDocument/2006/relationships/hyperlink" Target="https://it.wikipedia.org/wiki/1818" TargetMode="External"/><Relationship Id="rId90" Type="http://schemas.openxmlformats.org/officeDocument/2006/relationships/hyperlink" Target="https://it.wikipedia.org/wiki/Unione_Sovietica" TargetMode="External"/><Relationship Id="rId95" Type="http://schemas.openxmlformats.org/officeDocument/2006/relationships/hyperlink" Target="https://it.wikipedia.org/wiki/1881" TargetMode="External"/><Relationship Id="rId160" Type="http://schemas.openxmlformats.org/officeDocument/2006/relationships/hyperlink" Target="https://it.wikipedia.org/wiki/Miracolo" TargetMode="External"/><Relationship Id="rId165" Type="http://schemas.openxmlformats.org/officeDocument/2006/relationships/hyperlink" Target="https://it.wikipedia.org/wiki/Battaglia_di_Vienna" TargetMode="External"/><Relationship Id="rId22" Type="http://schemas.openxmlformats.org/officeDocument/2006/relationships/hyperlink" Target="https://it.wikipedia.org/wiki/Zemstvo" TargetMode="External"/><Relationship Id="rId27" Type="http://schemas.openxmlformats.org/officeDocument/2006/relationships/hyperlink" Target="https://it.wikipedia.org/wiki/Regno_Unito" TargetMode="External"/><Relationship Id="rId43" Type="http://schemas.openxmlformats.org/officeDocument/2006/relationships/hyperlink" Target="https://it.wikipedia.org/wiki/1854" TargetMode="External"/><Relationship Id="rId48" Type="http://schemas.openxmlformats.org/officeDocument/2006/relationships/hyperlink" Target="https://it.wikipedia.org/wiki/Mar_Nero" TargetMode="External"/><Relationship Id="rId64" Type="http://schemas.openxmlformats.org/officeDocument/2006/relationships/hyperlink" Target="https://it.wikipedia.org/wiki/Sergej_Vasil%27evi%C4%8D_Ivanov_(pittore)" TargetMode="External"/><Relationship Id="rId69" Type="http://schemas.openxmlformats.org/officeDocument/2006/relationships/hyperlink" Target="https://it.wikipedia.org/wiki/Lingua_russa" TargetMode="External"/><Relationship Id="rId113" Type="http://schemas.openxmlformats.org/officeDocument/2006/relationships/hyperlink" Target="https://it.wikipedia.org/wiki/Rumelia_orientale" TargetMode="External"/><Relationship Id="rId118" Type="http://schemas.openxmlformats.org/officeDocument/2006/relationships/hyperlink" Target="https://it.wikipedia.org/wiki/Austria-Ungheria" TargetMode="External"/><Relationship Id="rId134" Type="http://schemas.openxmlformats.org/officeDocument/2006/relationships/hyperlink" Target="https://it.wikipedia.org/wiki/Anticomunismo" TargetMode="External"/><Relationship Id="rId139" Type="http://schemas.openxmlformats.org/officeDocument/2006/relationships/hyperlink" Target="https://it.wikipedia.org/wiki/Bolscevismo" TargetMode="External"/><Relationship Id="rId80" Type="http://schemas.openxmlformats.org/officeDocument/2006/relationships/hyperlink" Target="https://it.wikipedia.org/wiki/Rivoluzione_del_1905" TargetMode="External"/><Relationship Id="rId85" Type="http://schemas.openxmlformats.org/officeDocument/2006/relationships/hyperlink" Target="https://it.wikipedia.org/wiki/Lingua_russa" TargetMode="External"/><Relationship Id="rId150" Type="http://schemas.openxmlformats.org/officeDocument/2006/relationships/hyperlink" Target="https://it.wikipedia.org/wiki/Kajetan_M%C3%A9rey" TargetMode="External"/><Relationship Id="rId155" Type="http://schemas.openxmlformats.org/officeDocument/2006/relationships/hyperlink" Target="https://it.wikipedia.org/wiki/Ol%27ga_Nikolaevna_Romanova_(1895-1918)" TargetMode="External"/><Relationship Id="rId12" Type="http://schemas.openxmlformats.org/officeDocument/2006/relationships/hyperlink" Target="https://it.wikipedia.org/wiki/1861" TargetMode="External"/><Relationship Id="rId17" Type="http://schemas.openxmlformats.org/officeDocument/2006/relationships/hyperlink" Target="https://it.wikipedia.org/wiki/1863" TargetMode="External"/><Relationship Id="rId33" Type="http://schemas.openxmlformats.org/officeDocument/2006/relationships/hyperlink" Target="https://it.wikipedia.org/wiki/1853" TargetMode="External"/><Relationship Id="rId38" Type="http://schemas.openxmlformats.org/officeDocument/2006/relationships/hyperlink" Target="https://it.wikipedia.org/wiki/Regno_Unito_di_Gran_Bretagna_e_Irlanda" TargetMode="External"/><Relationship Id="rId59" Type="http://schemas.openxmlformats.org/officeDocument/2006/relationships/hyperlink" Target="https://it.wikipedia.org/wiki/Bessarabia" TargetMode="External"/><Relationship Id="rId103" Type="http://schemas.openxmlformats.org/officeDocument/2006/relationships/hyperlink" Target="https://it.wikipedia.org/wiki/1917" TargetMode="External"/><Relationship Id="rId108" Type="http://schemas.openxmlformats.org/officeDocument/2006/relationships/hyperlink" Target="https://it.wikipedia.org/wiki/Partito_Comunista_dell%27Unione_Sovietica" TargetMode="External"/><Relationship Id="rId124" Type="http://schemas.openxmlformats.org/officeDocument/2006/relationships/hyperlink" Target="https://it.wikipedia.org/wiki/Marianne_(allegoria)" TargetMode="External"/><Relationship Id="rId129" Type="http://schemas.openxmlformats.org/officeDocument/2006/relationships/hyperlink" Target="https://it.wikipedia.org/wiki/Guglielmo_II_di_Germania" TargetMode="External"/><Relationship Id="rId54" Type="http://schemas.openxmlformats.org/officeDocument/2006/relationships/hyperlink" Target="https://it.wikipedia.org/wiki/Seconda_guerra_di_indipendenza" TargetMode="External"/><Relationship Id="rId70" Type="http://schemas.openxmlformats.org/officeDocument/2006/relationships/hyperlink" Target="https://it.wikipedia.org/wiki/Lingua_russa" TargetMode="External"/><Relationship Id="rId75" Type="http://schemas.openxmlformats.org/officeDocument/2006/relationships/hyperlink" Target="https://it.wikipedia.org/wiki/Palazzo_d%27Inverno" TargetMode="External"/><Relationship Id="rId91" Type="http://schemas.openxmlformats.org/officeDocument/2006/relationships/hyperlink" Target="https://it.wikipedia.org/wiki/Russia" TargetMode="External"/><Relationship Id="rId96" Type="http://schemas.openxmlformats.org/officeDocument/2006/relationships/hyperlink" Target="https://it.wikipedia.org/wiki/1921" TargetMode="External"/><Relationship Id="rId140" Type="http://schemas.openxmlformats.org/officeDocument/2006/relationships/hyperlink" Target="https://it.wikipedia.org/w/index.php?title=Terrore_bianco_(Russia)&amp;action=edit&amp;redlink=1" TargetMode="External"/><Relationship Id="rId145" Type="http://schemas.openxmlformats.org/officeDocument/2006/relationships/hyperlink" Target="https://it.wikipedia.org/wiki/Fanny_Kaplan" TargetMode="External"/><Relationship Id="rId161" Type="http://schemas.openxmlformats.org/officeDocument/2006/relationships/hyperlink" Target="https://it.wikipedia.org/wiki/Provvidenza" TargetMode="External"/><Relationship Id="rId166" Type="http://schemas.openxmlformats.org/officeDocument/2006/relationships/hyperlink" Target="https://it.wikipedia.org/wiki/Leopoli" TargetMode="External"/><Relationship Id="rId1" Type="http://schemas.openxmlformats.org/officeDocument/2006/relationships/hyperlink" Target="https://it.wikipedia.org/wiki/Lingua_russa" TargetMode="External"/><Relationship Id="rId6" Type="http://schemas.openxmlformats.org/officeDocument/2006/relationships/hyperlink" Target="https://it.wikipedia.org/wiki/San_Pietroburgo" TargetMode="External"/><Relationship Id="rId15" Type="http://schemas.openxmlformats.org/officeDocument/2006/relationships/hyperlink" Target="https://it.wikipedia.org/wiki/1862" TargetMode="External"/><Relationship Id="rId23" Type="http://schemas.openxmlformats.org/officeDocument/2006/relationships/hyperlink" Target="https://it.wikipedia.org/wiki/Impero_russo" TargetMode="External"/><Relationship Id="rId28" Type="http://schemas.openxmlformats.org/officeDocument/2006/relationships/hyperlink" Target="https://it.wikipedia.org/wiki/Guerra_russo-turca_(1877-1878)" TargetMode="External"/><Relationship Id="rId36" Type="http://schemas.openxmlformats.org/officeDocument/2006/relationships/hyperlink" Target="https://it.wikipedia.org/wiki/Impero_ottomano" TargetMode="External"/><Relationship Id="rId49" Type="http://schemas.openxmlformats.org/officeDocument/2006/relationships/hyperlink" Target="https://it.wikipedia.org/wiki/Battaglia_di_Balaklava" TargetMode="External"/><Relationship Id="rId57" Type="http://schemas.openxmlformats.org/officeDocument/2006/relationships/hyperlink" Target="https://it.wikipedia.org/wiki/Bosnia_ed_Erzegovina" TargetMode="External"/><Relationship Id="rId106" Type="http://schemas.openxmlformats.org/officeDocument/2006/relationships/hyperlink" Target="https://it.wikipedia.org/wiki/Assemblea_Costituente_Russa" TargetMode="External"/><Relationship Id="rId114" Type="http://schemas.openxmlformats.org/officeDocument/2006/relationships/hyperlink" Target="https://it.wikipedia.org/wiki/1887" TargetMode="External"/><Relationship Id="rId119" Type="http://schemas.openxmlformats.org/officeDocument/2006/relationships/hyperlink" Target="https://it.wikipedia.org/wiki/Otto_von_Bismarck" TargetMode="External"/><Relationship Id="rId127" Type="http://schemas.openxmlformats.org/officeDocument/2006/relationships/hyperlink" Target="https://it.wikipedia.org/wiki/Austria-Ungheria" TargetMode="External"/><Relationship Id="rId10" Type="http://schemas.openxmlformats.org/officeDocument/2006/relationships/hyperlink" Target="https://it.wikipedia.org/wiki/Duca_di_Finlandia" TargetMode="External"/><Relationship Id="rId31" Type="http://schemas.openxmlformats.org/officeDocument/2006/relationships/hyperlink" Target="https://it.wikipedia.org/wiki/Rivolta_di_gennaio" TargetMode="External"/><Relationship Id="rId44" Type="http://schemas.openxmlformats.org/officeDocument/2006/relationships/hyperlink" Target="https://it.wikipedia.org/wiki/Impero_austriaco" TargetMode="External"/><Relationship Id="rId52" Type="http://schemas.openxmlformats.org/officeDocument/2006/relationships/hyperlink" Target="https://it.wikipedia.org/wiki/Battaglia_di_Malachov" TargetMode="External"/><Relationship Id="rId60" Type="http://schemas.openxmlformats.org/officeDocument/2006/relationships/hyperlink" Target="https://it.wikipedia.org/wiki/Indipendenza" TargetMode="External"/><Relationship Id="rId65" Type="http://schemas.openxmlformats.org/officeDocument/2006/relationships/hyperlink" Target="https://it.wikipedia.org/wiki/Konstantin_Bal%27mont" TargetMode="External"/><Relationship Id="rId73" Type="http://schemas.openxmlformats.org/officeDocument/2006/relationships/hyperlink" Target="https://it.wikipedia.org/wiki/Calendario_giuliano" TargetMode="External"/><Relationship Id="rId78" Type="http://schemas.openxmlformats.org/officeDocument/2006/relationships/hyperlink" Target="https://it.wikipedia.org/wiki/Georgij_Apollonovi%C4%8D_Gapon" TargetMode="External"/><Relationship Id="rId81" Type="http://schemas.openxmlformats.org/officeDocument/2006/relationships/hyperlink" Target="https://it.wikipedia.org/wiki/Vladimir_Egorovi%C4%8D_Makovskij" TargetMode="External"/><Relationship Id="rId86" Type="http://schemas.openxmlformats.org/officeDocument/2006/relationships/hyperlink" Target="https://it.wikipedia.org/wiki/ISO_9" TargetMode="External"/><Relationship Id="rId94" Type="http://schemas.openxmlformats.org/officeDocument/2006/relationships/hyperlink" Target="https://it.wikipedia.org/wiki/Russia" TargetMode="External"/><Relationship Id="rId99" Type="http://schemas.openxmlformats.org/officeDocument/2006/relationships/hyperlink" Target="https://it.wikipedia.org/wiki/Carlo_Rossi_(architetto)" TargetMode="External"/><Relationship Id="rId101" Type="http://schemas.openxmlformats.org/officeDocument/2006/relationships/hyperlink" Target="https://it.wikipedia.org/wiki/Duma" TargetMode="External"/><Relationship Id="rId122" Type="http://schemas.openxmlformats.org/officeDocument/2006/relationships/hyperlink" Target="https://it.wikipedia.org/wiki/Alleanza_franco-russa" TargetMode="External"/><Relationship Id="rId130" Type="http://schemas.openxmlformats.org/officeDocument/2006/relationships/hyperlink" Target="https://it.wikipedia.org/wiki/Nicola_II_di_Russia" TargetMode="External"/><Relationship Id="rId135" Type="http://schemas.openxmlformats.org/officeDocument/2006/relationships/hyperlink" Target="https://it.wikipedia.org/wiki/Lev_Trotsky" TargetMode="External"/><Relationship Id="rId143" Type="http://schemas.openxmlformats.org/officeDocument/2006/relationships/hyperlink" Target="https://it.wikipedia.org/wiki/Moisej_Solomonovi%C4%8D_Urickij" TargetMode="External"/><Relationship Id="rId148" Type="http://schemas.openxmlformats.org/officeDocument/2006/relationships/hyperlink" Target="https://it.wikipedia.org/wiki/Wikipedia:Uso_delle_fonti" TargetMode="External"/><Relationship Id="rId151" Type="http://schemas.openxmlformats.org/officeDocument/2006/relationships/hyperlink" Target="https://it.wikipedia.org/wiki/Leopoldo_di_Baviera" TargetMode="External"/><Relationship Id="rId156" Type="http://schemas.openxmlformats.org/officeDocument/2006/relationships/hyperlink" Target="https://it.wikipedia.org/wiki/Nicola_II_di_Russia" TargetMode="External"/><Relationship Id="rId164" Type="http://schemas.openxmlformats.org/officeDocument/2006/relationships/hyperlink" Target="https://it.wikipedia.org/wiki/Jan_III_Sobieski" TargetMode="External"/><Relationship Id="rId4" Type="http://schemas.openxmlformats.org/officeDocument/2006/relationships/hyperlink" Target="https://it.wikipedia.org/wiki/29_aprile" TargetMode="External"/><Relationship Id="rId9" Type="http://schemas.openxmlformats.org/officeDocument/2006/relationships/hyperlink" Target="https://it.wikipedia.org/wiki/Imperatore_di_Russia" TargetMode="External"/><Relationship Id="rId13" Type="http://schemas.openxmlformats.org/officeDocument/2006/relationships/hyperlink" Target="https://it.wikipedia.org/wiki/Riforma_emancipativa_del_1861" TargetMode="External"/><Relationship Id="rId18" Type="http://schemas.openxmlformats.org/officeDocument/2006/relationships/hyperlink" Target="https://it.wikipedia.org/wiki/1864" TargetMode="External"/><Relationship Id="rId39" Type="http://schemas.openxmlformats.org/officeDocument/2006/relationships/hyperlink" Target="https://it.wikipedia.org/wiki/Regno_di_Sardegna_(1720-1861)" TargetMode="External"/><Relationship Id="rId109" Type="http://schemas.openxmlformats.org/officeDocument/2006/relationships/hyperlink" Target="https://it.wikipedia.org/wiki/Boris_Kustodiev" TargetMode="External"/><Relationship Id="rId34" Type="http://schemas.openxmlformats.org/officeDocument/2006/relationships/hyperlink" Target="https://it.wikipedia.org/wiki/1856" TargetMode="External"/><Relationship Id="rId50" Type="http://schemas.openxmlformats.org/officeDocument/2006/relationships/hyperlink" Target="https://it.wikipedia.org/wiki/Battaglia_di_Inkerman" TargetMode="External"/><Relationship Id="rId55" Type="http://schemas.openxmlformats.org/officeDocument/2006/relationships/hyperlink" Target="https://it.wikipedia.org/wiki/Pace_di_Santo_Stefano" TargetMode="External"/><Relationship Id="rId76" Type="http://schemas.openxmlformats.org/officeDocument/2006/relationships/hyperlink" Target="https://it.wikipedia.org/wiki/Zar" TargetMode="External"/><Relationship Id="rId97" Type="http://schemas.openxmlformats.org/officeDocument/2006/relationships/hyperlink" Target="https://it.wikipedia.org/wiki/Ebrei" TargetMode="External"/><Relationship Id="rId104" Type="http://schemas.openxmlformats.org/officeDocument/2006/relationships/hyperlink" Target="https://it.wikipedia.org/wiki/Governo_Provvisorio_Russo" TargetMode="External"/><Relationship Id="rId120" Type="http://schemas.openxmlformats.org/officeDocument/2006/relationships/hyperlink" Target="https://it.wikipedia.org/wiki/1890" TargetMode="External"/><Relationship Id="rId125" Type="http://schemas.openxmlformats.org/officeDocument/2006/relationships/hyperlink" Target="https://it.wikipedia.org/wiki/Madre_Russia" TargetMode="External"/><Relationship Id="rId141" Type="http://schemas.openxmlformats.org/officeDocument/2006/relationships/hyperlink" Target="https://it.wikipedia.org/wiki/%C4%8Ceka" TargetMode="External"/><Relationship Id="rId146" Type="http://schemas.openxmlformats.org/officeDocument/2006/relationships/hyperlink" Target="https://it.wikipedia.org/wiki/1918" TargetMode="External"/><Relationship Id="rId167" Type="http://schemas.openxmlformats.org/officeDocument/2006/relationships/hyperlink" Target="https://it.wikipedia.org/wiki/1919" TargetMode="External"/><Relationship Id="rId7" Type="http://schemas.openxmlformats.org/officeDocument/2006/relationships/hyperlink" Target="https://it.wikipedia.org/wiki/13_marzo" TargetMode="External"/><Relationship Id="rId71" Type="http://schemas.openxmlformats.org/officeDocument/2006/relationships/hyperlink" Target="https://it.wikipedia.org/wiki/San_Pietroburgo" TargetMode="External"/><Relationship Id="rId92" Type="http://schemas.openxmlformats.org/officeDocument/2006/relationships/hyperlink" Target="https://it.wikipedia.org/wiki/Aiuto:IPA" TargetMode="External"/><Relationship Id="rId162" Type="http://schemas.openxmlformats.org/officeDocument/2006/relationships/hyperlink" Target="https://it.wikipedia.org/wiki/Vergine_nera_di_Czestochowa" TargetMode="External"/><Relationship Id="rId2" Type="http://schemas.openxmlformats.org/officeDocument/2006/relationships/hyperlink" Target="https://it.wikipedia.org/wiki/Lingua_russa" TargetMode="External"/><Relationship Id="rId29" Type="http://schemas.openxmlformats.org/officeDocument/2006/relationships/hyperlink" Target="https://it.wikipedia.org/wiki/Impero_ottomano" TargetMode="External"/><Relationship Id="rId24" Type="http://schemas.openxmlformats.org/officeDocument/2006/relationships/hyperlink" Target="https://it.wikipedia.org/wiki/Guerra_di_Crimea" TargetMode="External"/><Relationship Id="rId40" Type="http://schemas.openxmlformats.org/officeDocument/2006/relationships/hyperlink" Target="https://it.wikipedia.org/wiki/Terra_santa" TargetMode="External"/><Relationship Id="rId45" Type="http://schemas.openxmlformats.org/officeDocument/2006/relationships/hyperlink" Target="https://it.wikipedia.org/wiki/Regno_di_Sardegna_(1720-1861)" TargetMode="External"/><Relationship Id="rId66" Type="http://schemas.openxmlformats.org/officeDocument/2006/relationships/hyperlink" Target="https://it.wikipedia.org/wiki/Patibolo" TargetMode="External"/><Relationship Id="rId87" Type="http://schemas.openxmlformats.org/officeDocument/2006/relationships/hyperlink" Target="https://it.wikipedia.org/wiki/Impero_Russo" TargetMode="External"/><Relationship Id="rId110" Type="http://schemas.openxmlformats.org/officeDocument/2006/relationships/hyperlink" Target="https://it.wikipedia.org/wiki/Galleria_Tret%27jakov" TargetMode="External"/><Relationship Id="rId115" Type="http://schemas.openxmlformats.org/officeDocument/2006/relationships/hyperlink" Target="https://it.wikipedia.org/wiki/Impero_tedesco" TargetMode="External"/><Relationship Id="rId131" Type="http://schemas.openxmlformats.org/officeDocument/2006/relationships/hyperlink" Target="https://it.wikipedia.org/wiki/Legge_marziale" TargetMode="External"/><Relationship Id="rId136" Type="http://schemas.openxmlformats.org/officeDocument/2006/relationships/hyperlink" Target="https://it.wikipedia.org/wiki/Lingua_russa" TargetMode="External"/><Relationship Id="rId157" Type="http://schemas.openxmlformats.org/officeDocument/2006/relationships/hyperlink" Target="https://it.wikipedia.org/wiki/Anastasija_Nikolaevna_Romanova" TargetMode="External"/><Relationship Id="rId61" Type="http://schemas.openxmlformats.org/officeDocument/2006/relationships/hyperlink" Target="https://it.wikipedia.org/wiki/Montenegro" TargetMode="External"/><Relationship Id="rId82" Type="http://schemas.openxmlformats.org/officeDocument/2006/relationships/hyperlink" Target="https://it.wikipedia.org/wiki/Isola_Vasil%27evskij" TargetMode="External"/><Relationship Id="rId152" Type="http://schemas.openxmlformats.org/officeDocument/2006/relationships/hyperlink" Target="https://it.wikipedia.org/wiki/Lev_Borisovi%C4%8D_Kamenev" TargetMode="External"/><Relationship Id="rId19" Type="http://schemas.openxmlformats.org/officeDocument/2006/relationships/hyperlink" Target="https://it.wikipedia.org/wiki/Guerra_caucasica" TargetMode="External"/><Relationship Id="rId14" Type="http://schemas.openxmlformats.org/officeDocument/2006/relationships/hyperlink" Target="https://it.wikipedia.org/wiki/Servit%C3%B9_della_gleba" TargetMode="External"/><Relationship Id="rId30" Type="http://schemas.openxmlformats.org/officeDocument/2006/relationships/hyperlink" Target="https://it.wikipedia.org/wiki/1877" TargetMode="External"/><Relationship Id="rId35" Type="http://schemas.openxmlformats.org/officeDocument/2006/relationships/hyperlink" Target="https://it.wikipedia.org/wiki/Impero_russo" TargetMode="External"/><Relationship Id="rId56" Type="http://schemas.openxmlformats.org/officeDocument/2006/relationships/hyperlink" Target="https://it.wikipedia.org/wiki/Principato_di_Bulgaria" TargetMode="External"/><Relationship Id="rId77" Type="http://schemas.openxmlformats.org/officeDocument/2006/relationships/hyperlink" Target="https://it.wikipedia.org/wiki/Nicola_II_di_Russia" TargetMode="External"/><Relationship Id="rId100" Type="http://schemas.openxmlformats.org/officeDocument/2006/relationships/hyperlink" Target="https://it.wikipedia.org/wiki/Vasilij_Petrovi%C4%8D_Stasov" TargetMode="External"/><Relationship Id="rId105" Type="http://schemas.openxmlformats.org/officeDocument/2006/relationships/hyperlink" Target="https://it.wikipedia.org/w/index.php?title=Soviet_di_Pietroburgo&amp;action=edit&amp;redlink=1" TargetMode="External"/><Relationship Id="rId126" Type="http://schemas.openxmlformats.org/officeDocument/2006/relationships/hyperlink" Target="https://it.wikipedia.org/wiki/Britannia" TargetMode="External"/><Relationship Id="rId147" Type="http://schemas.openxmlformats.org/officeDocument/2006/relationships/hyperlink" Target="https://it.wikipedia.org/wiki/Partito_Socialista_Rivoluzionario_(Russia)" TargetMode="External"/><Relationship Id="rId168" Type="http://schemas.openxmlformats.org/officeDocument/2006/relationships/hyperlink" Target="https://it.wikipedia.org/wiki/Zbru%C4%8D" TargetMode="External"/><Relationship Id="rId8" Type="http://schemas.openxmlformats.org/officeDocument/2006/relationships/hyperlink" Target="https://it.wikipedia.org/wiki/1881" TargetMode="External"/><Relationship Id="rId51" Type="http://schemas.openxmlformats.org/officeDocument/2006/relationships/hyperlink" Target="https://it.wikipedia.org/wiki/Battaglia_della_Cernaia" TargetMode="External"/><Relationship Id="rId72" Type="http://schemas.openxmlformats.org/officeDocument/2006/relationships/hyperlink" Target="https://it.wikipedia.org/wiki/1905" TargetMode="External"/><Relationship Id="rId93" Type="http://schemas.openxmlformats.org/officeDocument/2006/relationships/hyperlink" Target="https://it.wikipedia.org/wiki/Antisemitismo" TargetMode="External"/><Relationship Id="rId98" Type="http://schemas.openxmlformats.org/officeDocument/2006/relationships/hyperlink" Target="https://it.wikipedia.org/wiki/XIX_secolo" TargetMode="External"/><Relationship Id="rId121" Type="http://schemas.openxmlformats.org/officeDocument/2006/relationships/hyperlink" Target="https://it.wikipedia.org/wiki/Guglielmo_II_di_Germania" TargetMode="External"/><Relationship Id="rId142" Type="http://schemas.openxmlformats.org/officeDocument/2006/relationships/hyperlink" Target="https://it.wikipedia.org/wiki/Pietrogrado" TargetMode="External"/><Relationship Id="rId163" Type="http://schemas.openxmlformats.org/officeDocument/2006/relationships/hyperlink" Target="https://it.wikipedia.org/wiki/Santuario_della_Santa_Casa" TargetMode="External"/><Relationship Id="rId3" Type="http://schemas.openxmlformats.org/officeDocument/2006/relationships/hyperlink" Target="https://it.wikipedia.org/wiki/Mosca_(Russia)" TargetMode="External"/><Relationship Id="rId25" Type="http://schemas.openxmlformats.org/officeDocument/2006/relationships/hyperlink" Target="https://it.wikipedia.org/wiki/Impero_russo" TargetMode="External"/><Relationship Id="rId46" Type="http://schemas.openxmlformats.org/officeDocument/2006/relationships/hyperlink" Target="https://it.wikipedia.org/wiki/Penisola_di_Crimea" TargetMode="External"/><Relationship Id="rId67" Type="http://schemas.openxmlformats.org/officeDocument/2006/relationships/hyperlink" Target="https://it.wikipedia.org/wiki/Penisola_di_Liaodong" TargetMode="External"/><Relationship Id="rId116" Type="http://schemas.openxmlformats.org/officeDocument/2006/relationships/hyperlink" Target="https://it.wikipedia.org/wiki/Impero_russo" TargetMode="External"/><Relationship Id="rId137" Type="http://schemas.openxmlformats.org/officeDocument/2006/relationships/hyperlink" Target="https://it.wikipedia.org/wiki/Controrivoluzione" TargetMode="External"/><Relationship Id="rId158" Type="http://schemas.openxmlformats.org/officeDocument/2006/relationships/hyperlink" Target="https://it.wikipedia.org/wiki/Aleksej_Nikolaevi%C4%8D_Romanov" TargetMode="External"/><Relationship Id="rId20" Type="http://schemas.openxmlformats.org/officeDocument/2006/relationships/hyperlink" Target="https://it.wikipedia.org/wiki/1817" TargetMode="External"/><Relationship Id="rId41" Type="http://schemas.openxmlformats.org/officeDocument/2006/relationships/hyperlink" Target="https://it.wikipedia.org/wiki/Impero_ottomano" TargetMode="External"/><Relationship Id="rId62" Type="http://schemas.openxmlformats.org/officeDocument/2006/relationships/hyperlink" Target="https://it.wikipedia.org/wiki/Principato_di_Serbia" TargetMode="External"/><Relationship Id="rId83" Type="http://schemas.openxmlformats.org/officeDocument/2006/relationships/hyperlink" Target="https://it.wikipedia.org/w/index.php?title=Ivan_Alekseevi%C4%8D_Vladimirov&amp;action=edit&amp;redlink=1" TargetMode="External"/><Relationship Id="rId88" Type="http://schemas.openxmlformats.org/officeDocument/2006/relationships/hyperlink" Target="https://it.wikipedia.org/wiki/XX_secolo" TargetMode="External"/><Relationship Id="rId111" Type="http://schemas.openxmlformats.org/officeDocument/2006/relationships/hyperlink" Target="https://it.wikipedia.org/wiki/Nikolaj_Nikolaevi%C4%8D_Romanov_(1856-1929)" TargetMode="External"/><Relationship Id="rId132" Type="http://schemas.openxmlformats.org/officeDocument/2006/relationships/hyperlink" Target="https://it.wikipedia.org/wiki/Governo" TargetMode="External"/><Relationship Id="rId153" Type="http://schemas.openxmlformats.org/officeDocument/2006/relationships/hyperlink" Target="https://it.wikipedia.org/wiki/Marija_Nikolaevna_Romanova" TargetMode="External"/></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AE3FAAC-D7CD-44E8-9E2D-C2C2E07E8B6F}" type="doc">
      <dgm:prSet loTypeId="urn:microsoft.com/office/officeart/2005/8/layout/hProcess4" loCatId="process" qsTypeId="urn:microsoft.com/office/officeart/2005/8/quickstyle/3d1" qsCatId="3D" csTypeId="urn:microsoft.com/office/officeart/2005/8/colors/colorful5" csCatId="colorful" phldr="1"/>
      <dgm:spPr/>
      <dgm:t>
        <a:bodyPr/>
        <a:lstStyle/>
        <a:p>
          <a:endParaRPr lang="it-IT"/>
        </a:p>
      </dgm:t>
    </dgm:pt>
    <dgm:pt modelId="{B605B8D1-F687-46FE-A678-46A4A8A6317B}">
      <dgm:prSet phldrT="[Testo]"/>
      <dgm:spPr/>
      <dgm:t>
        <a:bodyPr/>
        <a:lstStyle/>
        <a:p>
          <a:r>
            <a:rPr lang="it-IT"/>
            <a:t>1° Guerra Balcanica (1912)</a:t>
          </a:r>
        </a:p>
      </dgm:t>
    </dgm:pt>
    <dgm:pt modelId="{58AC89E6-731D-4E8F-AB5C-DB65B1FCF7F7}" type="parTrans" cxnId="{1ABE13AC-01F7-430B-A160-EEB0BF1B96B3}">
      <dgm:prSet/>
      <dgm:spPr/>
      <dgm:t>
        <a:bodyPr/>
        <a:lstStyle/>
        <a:p>
          <a:endParaRPr lang="it-IT"/>
        </a:p>
      </dgm:t>
    </dgm:pt>
    <dgm:pt modelId="{24F2A502-BB88-4520-A48A-2B8229739C42}" type="sibTrans" cxnId="{1ABE13AC-01F7-430B-A160-EEB0BF1B96B3}">
      <dgm:prSet/>
      <dgm:spPr/>
      <dgm:t>
        <a:bodyPr/>
        <a:lstStyle/>
        <a:p>
          <a:endParaRPr lang="it-IT"/>
        </a:p>
      </dgm:t>
    </dgm:pt>
    <dgm:pt modelId="{C89F87EE-4EEF-483A-A84B-F8DFDDFB94A4}">
      <dgm:prSet phldrT="[Testo]" custT="1"/>
      <dgm:spPr/>
      <dgm:t>
        <a:bodyPr/>
        <a:lstStyle/>
        <a:p>
          <a:r>
            <a:rPr lang="it-IT" sz="1200"/>
            <a:t>Bulgaria, Serbia, Grecia e Montenergro VS Turchia</a:t>
          </a:r>
        </a:p>
      </dgm:t>
    </dgm:pt>
    <dgm:pt modelId="{3CD0DCF5-9EEB-4E09-909F-A62CF6864D0E}" type="parTrans" cxnId="{17AD7895-2954-4D41-806D-1BE15350E3F0}">
      <dgm:prSet/>
      <dgm:spPr/>
      <dgm:t>
        <a:bodyPr/>
        <a:lstStyle/>
        <a:p>
          <a:endParaRPr lang="it-IT"/>
        </a:p>
      </dgm:t>
    </dgm:pt>
    <dgm:pt modelId="{7D60EA53-6454-4311-9B21-E25E447883BF}" type="sibTrans" cxnId="{17AD7895-2954-4D41-806D-1BE15350E3F0}">
      <dgm:prSet/>
      <dgm:spPr/>
      <dgm:t>
        <a:bodyPr/>
        <a:lstStyle/>
        <a:p>
          <a:endParaRPr lang="it-IT"/>
        </a:p>
      </dgm:t>
    </dgm:pt>
    <dgm:pt modelId="{579ED6A6-5412-4026-8B98-802792141109}">
      <dgm:prSet phldrT="[Testo]" custT="1"/>
      <dgm:spPr/>
      <dgm:t>
        <a:bodyPr/>
        <a:lstStyle/>
        <a:p>
          <a:r>
            <a:rPr lang="it-IT" sz="1200"/>
            <a:t>Turchia ridimensionata, Bugaria vera vincitrice</a:t>
          </a:r>
        </a:p>
      </dgm:t>
    </dgm:pt>
    <dgm:pt modelId="{4F8A2C2A-4D97-4199-AC25-CE69D9B40F1D}" type="parTrans" cxnId="{E9E4DBAD-B0CE-4385-BC9B-0C3C6940E596}">
      <dgm:prSet/>
      <dgm:spPr/>
      <dgm:t>
        <a:bodyPr/>
        <a:lstStyle/>
        <a:p>
          <a:endParaRPr lang="it-IT"/>
        </a:p>
      </dgm:t>
    </dgm:pt>
    <dgm:pt modelId="{59C570DF-CD13-4BB8-A598-DE905BCFAE38}" type="sibTrans" cxnId="{E9E4DBAD-B0CE-4385-BC9B-0C3C6940E596}">
      <dgm:prSet/>
      <dgm:spPr/>
      <dgm:t>
        <a:bodyPr/>
        <a:lstStyle/>
        <a:p>
          <a:endParaRPr lang="it-IT"/>
        </a:p>
      </dgm:t>
    </dgm:pt>
    <dgm:pt modelId="{586A4370-74AC-45C6-9547-947D49755C04}">
      <dgm:prSet phldrT="[Testo]"/>
      <dgm:spPr/>
      <dgm:t>
        <a:bodyPr/>
        <a:lstStyle/>
        <a:p>
          <a:r>
            <a:rPr lang="it-IT"/>
            <a:t>2° Guerra Balcanica (1913)</a:t>
          </a:r>
        </a:p>
      </dgm:t>
    </dgm:pt>
    <dgm:pt modelId="{4E8779F7-FB10-4F0F-AD3D-B78FF038D20D}" type="parTrans" cxnId="{F447414B-2A76-4126-BF0C-ECFD7FB095EB}">
      <dgm:prSet/>
      <dgm:spPr/>
      <dgm:t>
        <a:bodyPr/>
        <a:lstStyle/>
        <a:p>
          <a:endParaRPr lang="it-IT"/>
        </a:p>
      </dgm:t>
    </dgm:pt>
    <dgm:pt modelId="{82B9DD36-DFB3-4EBF-AF58-D772C993CA10}" type="sibTrans" cxnId="{F447414B-2A76-4126-BF0C-ECFD7FB095EB}">
      <dgm:prSet/>
      <dgm:spPr/>
      <dgm:t>
        <a:bodyPr/>
        <a:lstStyle/>
        <a:p>
          <a:endParaRPr lang="it-IT"/>
        </a:p>
      </dgm:t>
    </dgm:pt>
    <dgm:pt modelId="{D11FD77B-60C9-46B1-A5D6-5CDBAE7DC5BA}">
      <dgm:prSet phldrT="[Testo]" custT="1"/>
      <dgm:spPr/>
      <dgm:t>
        <a:bodyPr/>
        <a:lstStyle/>
        <a:p>
          <a:r>
            <a:rPr lang="it-IT" sz="1200"/>
            <a:t>Turchia, Serbia, Grecia, Montenegro, Romania VS Bulgaria</a:t>
          </a:r>
        </a:p>
      </dgm:t>
    </dgm:pt>
    <dgm:pt modelId="{67DFCD24-F975-49CB-8F02-2C095F890D8B}" type="parTrans" cxnId="{EFB6A36A-2FE5-47C4-9ECB-77FD61DAC3A2}">
      <dgm:prSet/>
      <dgm:spPr/>
      <dgm:t>
        <a:bodyPr/>
        <a:lstStyle/>
        <a:p>
          <a:endParaRPr lang="it-IT"/>
        </a:p>
      </dgm:t>
    </dgm:pt>
    <dgm:pt modelId="{4D806692-49E3-4226-9FA0-668DBFC773A1}" type="sibTrans" cxnId="{EFB6A36A-2FE5-47C4-9ECB-77FD61DAC3A2}">
      <dgm:prSet/>
      <dgm:spPr/>
      <dgm:t>
        <a:bodyPr/>
        <a:lstStyle/>
        <a:p>
          <a:endParaRPr lang="it-IT"/>
        </a:p>
      </dgm:t>
    </dgm:pt>
    <dgm:pt modelId="{8C8965F6-8523-4CCA-999F-D170D0C6E10D}">
      <dgm:prSet phldrT="[Testo]" custT="1"/>
      <dgm:spPr/>
      <dgm:t>
        <a:bodyPr/>
        <a:lstStyle/>
        <a:p>
          <a:r>
            <a:rPr lang="it-IT" sz="1200"/>
            <a:t>Bulgaria ridimensionata, Serbia e Romania vincitrici</a:t>
          </a:r>
        </a:p>
      </dgm:t>
    </dgm:pt>
    <dgm:pt modelId="{112B550D-986E-4B82-9E43-9AFECBACC94F}" type="parTrans" cxnId="{CE0AE77A-8F7E-4616-B571-9DEF1D1AB503}">
      <dgm:prSet/>
      <dgm:spPr/>
      <dgm:t>
        <a:bodyPr/>
        <a:lstStyle/>
        <a:p>
          <a:endParaRPr lang="it-IT"/>
        </a:p>
      </dgm:t>
    </dgm:pt>
    <dgm:pt modelId="{04E4EF10-02BD-4DDE-BDEE-1DC36DBAABBF}" type="sibTrans" cxnId="{CE0AE77A-8F7E-4616-B571-9DEF1D1AB503}">
      <dgm:prSet/>
      <dgm:spPr/>
      <dgm:t>
        <a:bodyPr/>
        <a:lstStyle/>
        <a:p>
          <a:endParaRPr lang="it-IT"/>
        </a:p>
      </dgm:t>
    </dgm:pt>
    <dgm:pt modelId="{597CDA52-4490-4F6B-B5E2-7E1013B48DCB}" type="pres">
      <dgm:prSet presAssocID="{8AE3FAAC-D7CD-44E8-9E2D-C2C2E07E8B6F}" presName="Name0" presStyleCnt="0">
        <dgm:presLayoutVars>
          <dgm:dir/>
          <dgm:animLvl val="lvl"/>
          <dgm:resizeHandles val="exact"/>
        </dgm:presLayoutVars>
      </dgm:prSet>
      <dgm:spPr/>
      <dgm:t>
        <a:bodyPr/>
        <a:lstStyle/>
        <a:p>
          <a:endParaRPr lang="it-IT"/>
        </a:p>
      </dgm:t>
    </dgm:pt>
    <dgm:pt modelId="{684DBEB3-544A-459A-BD3E-0C23BD85D283}" type="pres">
      <dgm:prSet presAssocID="{8AE3FAAC-D7CD-44E8-9E2D-C2C2E07E8B6F}" presName="tSp" presStyleCnt="0"/>
      <dgm:spPr/>
    </dgm:pt>
    <dgm:pt modelId="{F17C4872-B226-4FEA-888B-50DE6D1A8347}" type="pres">
      <dgm:prSet presAssocID="{8AE3FAAC-D7CD-44E8-9E2D-C2C2E07E8B6F}" presName="bSp" presStyleCnt="0"/>
      <dgm:spPr/>
    </dgm:pt>
    <dgm:pt modelId="{0B056573-9B18-4C25-BBEE-1E2B890FFB05}" type="pres">
      <dgm:prSet presAssocID="{8AE3FAAC-D7CD-44E8-9E2D-C2C2E07E8B6F}" presName="process" presStyleCnt="0"/>
      <dgm:spPr/>
    </dgm:pt>
    <dgm:pt modelId="{D5FB2BD2-843A-4B84-9F3B-4EA9369AC561}" type="pres">
      <dgm:prSet presAssocID="{B605B8D1-F687-46FE-A678-46A4A8A6317B}" presName="composite1" presStyleCnt="0"/>
      <dgm:spPr/>
    </dgm:pt>
    <dgm:pt modelId="{6A291772-4FE5-4C5A-B1B1-04EB3AFC8BC7}" type="pres">
      <dgm:prSet presAssocID="{B605B8D1-F687-46FE-A678-46A4A8A6317B}" presName="dummyNode1" presStyleLbl="node1" presStyleIdx="0" presStyleCnt="2"/>
      <dgm:spPr/>
    </dgm:pt>
    <dgm:pt modelId="{66A91EA9-EA5D-4830-B601-F0F0CE90FFD6}" type="pres">
      <dgm:prSet presAssocID="{B605B8D1-F687-46FE-A678-46A4A8A6317B}" presName="childNode1" presStyleLbl="bgAcc1" presStyleIdx="0" presStyleCnt="2" custScaleX="186685" custScaleY="88129">
        <dgm:presLayoutVars>
          <dgm:bulletEnabled val="1"/>
        </dgm:presLayoutVars>
      </dgm:prSet>
      <dgm:spPr/>
      <dgm:t>
        <a:bodyPr/>
        <a:lstStyle/>
        <a:p>
          <a:endParaRPr lang="it-IT"/>
        </a:p>
      </dgm:t>
    </dgm:pt>
    <dgm:pt modelId="{A32743FF-9F9F-4E70-8EA0-54766F2E10D2}" type="pres">
      <dgm:prSet presAssocID="{B605B8D1-F687-46FE-A678-46A4A8A6317B}" presName="childNode1tx" presStyleLbl="bgAcc1" presStyleIdx="0" presStyleCnt="2">
        <dgm:presLayoutVars>
          <dgm:bulletEnabled val="1"/>
        </dgm:presLayoutVars>
      </dgm:prSet>
      <dgm:spPr/>
      <dgm:t>
        <a:bodyPr/>
        <a:lstStyle/>
        <a:p>
          <a:endParaRPr lang="it-IT"/>
        </a:p>
      </dgm:t>
    </dgm:pt>
    <dgm:pt modelId="{6726CB18-BA60-43C2-86FE-488FC45FF875}" type="pres">
      <dgm:prSet presAssocID="{B605B8D1-F687-46FE-A678-46A4A8A6317B}" presName="parentNode1" presStyleLbl="node1" presStyleIdx="0" presStyleCnt="2" custLinFactNeighborY="-41152">
        <dgm:presLayoutVars>
          <dgm:chMax val="1"/>
          <dgm:bulletEnabled val="1"/>
        </dgm:presLayoutVars>
      </dgm:prSet>
      <dgm:spPr/>
      <dgm:t>
        <a:bodyPr/>
        <a:lstStyle/>
        <a:p>
          <a:endParaRPr lang="it-IT"/>
        </a:p>
      </dgm:t>
    </dgm:pt>
    <dgm:pt modelId="{25CBD465-2252-408B-BC5C-425353982A86}" type="pres">
      <dgm:prSet presAssocID="{B605B8D1-F687-46FE-A678-46A4A8A6317B}" presName="connSite1" presStyleCnt="0"/>
      <dgm:spPr/>
    </dgm:pt>
    <dgm:pt modelId="{6C59493D-14FF-4514-B87D-45118D8E70AC}" type="pres">
      <dgm:prSet presAssocID="{24F2A502-BB88-4520-A48A-2B8229739C42}" presName="Name9" presStyleLbl="sibTrans2D1" presStyleIdx="0" presStyleCnt="1" custAng="21327627" custLinFactNeighborX="-3083" custLinFactNeighborY="-5681"/>
      <dgm:spPr/>
      <dgm:t>
        <a:bodyPr/>
        <a:lstStyle/>
        <a:p>
          <a:endParaRPr lang="it-IT"/>
        </a:p>
      </dgm:t>
    </dgm:pt>
    <dgm:pt modelId="{33DD43FC-1E6B-479E-B442-28814CF98F7F}" type="pres">
      <dgm:prSet presAssocID="{586A4370-74AC-45C6-9547-947D49755C04}" presName="composite2" presStyleCnt="0"/>
      <dgm:spPr/>
    </dgm:pt>
    <dgm:pt modelId="{4D1E1005-E0D1-45E1-BC57-9DACBC3E8A43}" type="pres">
      <dgm:prSet presAssocID="{586A4370-74AC-45C6-9547-947D49755C04}" presName="dummyNode2" presStyleLbl="node1" presStyleIdx="0" presStyleCnt="2"/>
      <dgm:spPr/>
    </dgm:pt>
    <dgm:pt modelId="{2C968F8E-6543-4AC2-8B52-7496EBAC4C76}" type="pres">
      <dgm:prSet presAssocID="{586A4370-74AC-45C6-9547-947D49755C04}" presName="childNode2" presStyleLbl="bgAcc1" presStyleIdx="1" presStyleCnt="2" custScaleX="176440" custScaleY="99532">
        <dgm:presLayoutVars>
          <dgm:bulletEnabled val="1"/>
        </dgm:presLayoutVars>
      </dgm:prSet>
      <dgm:spPr/>
      <dgm:t>
        <a:bodyPr/>
        <a:lstStyle/>
        <a:p>
          <a:endParaRPr lang="it-IT"/>
        </a:p>
      </dgm:t>
    </dgm:pt>
    <dgm:pt modelId="{62DAD3C1-3CA2-45D5-B883-13F9C0D78934}" type="pres">
      <dgm:prSet presAssocID="{586A4370-74AC-45C6-9547-947D49755C04}" presName="childNode2tx" presStyleLbl="bgAcc1" presStyleIdx="1" presStyleCnt="2">
        <dgm:presLayoutVars>
          <dgm:bulletEnabled val="1"/>
        </dgm:presLayoutVars>
      </dgm:prSet>
      <dgm:spPr/>
      <dgm:t>
        <a:bodyPr/>
        <a:lstStyle/>
        <a:p>
          <a:endParaRPr lang="it-IT"/>
        </a:p>
      </dgm:t>
    </dgm:pt>
    <dgm:pt modelId="{04D7F83D-7261-4647-9A57-2EB2A17BA1D0}" type="pres">
      <dgm:prSet presAssocID="{586A4370-74AC-45C6-9547-947D49755C04}" presName="parentNode2" presStyleLbl="node1" presStyleIdx="1" presStyleCnt="2">
        <dgm:presLayoutVars>
          <dgm:chMax val="0"/>
          <dgm:bulletEnabled val="1"/>
        </dgm:presLayoutVars>
      </dgm:prSet>
      <dgm:spPr/>
      <dgm:t>
        <a:bodyPr/>
        <a:lstStyle/>
        <a:p>
          <a:endParaRPr lang="it-IT"/>
        </a:p>
      </dgm:t>
    </dgm:pt>
    <dgm:pt modelId="{DBEFA6A8-3D76-4881-98E5-ADC7805B2387}" type="pres">
      <dgm:prSet presAssocID="{586A4370-74AC-45C6-9547-947D49755C04}" presName="connSite2" presStyleCnt="0"/>
      <dgm:spPr/>
    </dgm:pt>
  </dgm:ptLst>
  <dgm:cxnLst>
    <dgm:cxn modelId="{EFB6469A-92C9-461A-9283-9F9C1DE35400}" type="presOf" srcId="{24F2A502-BB88-4520-A48A-2B8229739C42}" destId="{6C59493D-14FF-4514-B87D-45118D8E70AC}" srcOrd="0" destOrd="0" presId="urn:microsoft.com/office/officeart/2005/8/layout/hProcess4"/>
    <dgm:cxn modelId="{F447414B-2A76-4126-BF0C-ECFD7FB095EB}" srcId="{8AE3FAAC-D7CD-44E8-9E2D-C2C2E07E8B6F}" destId="{586A4370-74AC-45C6-9547-947D49755C04}" srcOrd="1" destOrd="0" parTransId="{4E8779F7-FB10-4F0F-AD3D-B78FF038D20D}" sibTransId="{82B9DD36-DFB3-4EBF-AF58-D772C993CA10}"/>
    <dgm:cxn modelId="{CE0AE77A-8F7E-4616-B571-9DEF1D1AB503}" srcId="{586A4370-74AC-45C6-9547-947D49755C04}" destId="{8C8965F6-8523-4CCA-999F-D170D0C6E10D}" srcOrd="1" destOrd="0" parTransId="{112B550D-986E-4B82-9E43-9AFECBACC94F}" sibTransId="{04E4EF10-02BD-4DDE-BDEE-1DC36DBAABBF}"/>
    <dgm:cxn modelId="{799B34AC-3DF2-4BAE-999E-7475807997F4}" type="presOf" srcId="{8AE3FAAC-D7CD-44E8-9E2D-C2C2E07E8B6F}" destId="{597CDA52-4490-4F6B-B5E2-7E1013B48DCB}" srcOrd="0" destOrd="0" presId="urn:microsoft.com/office/officeart/2005/8/layout/hProcess4"/>
    <dgm:cxn modelId="{45E8A677-2827-4162-9FBD-7A15898ACD4F}" type="presOf" srcId="{579ED6A6-5412-4026-8B98-802792141109}" destId="{66A91EA9-EA5D-4830-B601-F0F0CE90FFD6}" srcOrd="0" destOrd="1" presId="urn:microsoft.com/office/officeart/2005/8/layout/hProcess4"/>
    <dgm:cxn modelId="{46098A8C-DE91-49B5-9A2F-B018567A5AA5}" type="presOf" srcId="{579ED6A6-5412-4026-8B98-802792141109}" destId="{A32743FF-9F9F-4E70-8EA0-54766F2E10D2}" srcOrd="1" destOrd="1" presId="urn:microsoft.com/office/officeart/2005/8/layout/hProcess4"/>
    <dgm:cxn modelId="{971013EE-40E3-46B8-B987-6422B90774F1}" type="presOf" srcId="{8C8965F6-8523-4CCA-999F-D170D0C6E10D}" destId="{2C968F8E-6543-4AC2-8B52-7496EBAC4C76}" srcOrd="0" destOrd="1" presId="urn:microsoft.com/office/officeart/2005/8/layout/hProcess4"/>
    <dgm:cxn modelId="{1ABE13AC-01F7-430B-A160-EEB0BF1B96B3}" srcId="{8AE3FAAC-D7CD-44E8-9E2D-C2C2E07E8B6F}" destId="{B605B8D1-F687-46FE-A678-46A4A8A6317B}" srcOrd="0" destOrd="0" parTransId="{58AC89E6-731D-4E8F-AB5C-DB65B1FCF7F7}" sibTransId="{24F2A502-BB88-4520-A48A-2B8229739C42}"/>
    <dgm:cxn modelId="{7791B865-9C70-480F-BC9A-88BA0FB571F0}" type="presOf" srcId="{B605B8D1-F687-46FE-A678-46A4A8A6317B}" destId="{6726CB18-BA60-43C2-86FE-488FC45FF875}" srcOrd="0" destOrd="0" presId="urn:microsoft.com/office/officeart/2005/8/layout/hProcess4"/>
    <dgm:cxn modelId="{EFB6A36A-2FE5-47C4-9ECB-77FD61DAC3A2}" srcId="{586A4370-74AC-45C6-9547-947D49755C04}" destId="{D11FD77B-60C9-46B1-A5D6-5CDBAE7DC5BA}" srcOrd="0" destOrd="0" parTransId="{67DFCD24-F975-49CB-8F02-2C095F890D8B}" sibTransId="{4D806692-49E3-4226-9FA0-668DBFC773A1}"/>
    <dgm:cxn modelId="{2414CD98-1595-4461-91C3-424B2712D604}" type="presOf" srcId="{8C8965F6-8523-4CCA-999F-D170D0C6E10D}" destId="{62DAD3C1-3CA2-45D5-B883-13F9C0D78934}" srcOrd="1" destOrd="1" presId="urn:microsoft.com/office/officeart/2005/8/layout/hProcess4"/>
    <dgm:cxn modelId="{28157A02-8E94-4E19-847F-5C290DC7FFB6}" type="presOf" srcId="{586A4370-74AC-45C6-9547-947D49755C04}" destId="{04D7F83D-7261-4647-9A57-2EB2A17BA1D0}" srcOrd="0" destOrd="0" presId="urn:microsoft.com/office/officeart/2005/8/layout/hProcess4"/>
    <dgm:cxn modelId="{E9E4DBAD-B0CE-4385-BC9B-0C3C6940E596}" srcId="{B605B8D1-F687-46FE-A678-46A4A8A6317B}" destId="{579ED6A6-5412-4026-8B98-802792141109}" srcOrd="1" destOrd="0" parTransId="{4F8A2C2A-4D97-4199-AC25-CE69D9B40F1D}" sibTransId="{59C570DF-CD13-4BB8-A598-DE905BCFAE38}"/>
    <dgm:cxn modelId="{9F93BE9A-6011-4DDF-A378-08C889F964F8}" type="presOf" srcId="{D11FD77B-60C9-46B1-A5D6-5CDBAE7DC5BA}" destId="{62DAD3C1-3CA2-45D5-B883-13F9C0D78934}" srcOrd="1" destOrd="0" presId="urn:microsoft.com/office/officeart/2005/8/layout/hProcess4"/>
    <dgm:cxn modelId="{D8ED9905-F026-4638-A84A-0B766D793517}" type="presOf" srcId="{D11FD77B-60C9-46B1-A5D6-5CDBAE7DC5BA}" destId="{2C968F8E-6543-4AC2-8B52-7496EBAC4C76}" srcOrd="0" destOrd="0" presId="urn:microsoft.com/office/officeart/2005/8/layout/hProcess4"/>
    <dgm:cxn modelId="{17AD7895-2954-4D41-806D-1BE15350E3F0}" srcId="{B605B8D1-F687-46FE-A678-46A4A8A6317B}" destId="{C89F87EE-4EEF-483A-A84B-F8DFDDFB94A4}" srcOrd="0" destOrd="0" parTransId="{3CD0DCF5-9EEB-4E09-909F-A62CF6864D0E}" sibTransId="{7D60EA53-6454-4311-9B21-E25E447883BF}"/>
    <dgm:cxn modelId="{CDA07AA2-33DC-4E99-B647-2248038C9539}" type="presOf" srcId="{C89F87EE-4EEF-483A-A84B-F8DFDDFB94A4}" destId="{A32743FF-9F9F-4E70-8EA0-54766F2E10D2}" srcOrd="1" destOrd="0" presId="urn:microsoft.com/office/officeart/2005/8/layout/hProcess4"/>
    <dgm:cxn modelId="{E6EBCD2B-9E75-4C25-90DF-9BEBD5CD9DCB}" type="presOf" srcId="{C89F87EE-4EEF-483A-A84B-F8DFDDFB94A4}" destId="{66A91EA9-EA5D-4830-B601-F0F0CE90FFD6}" srcOrd="0" destOrd="0" presId="urn:microsoft.com/office/officeart/2005/8/layout/hProcess4"/>
    <dgm:cxn modelId="{EF0537C0-DCC2-42FF-8FDA-3132F0F4AAC0}" type="presParOf" srcId="{597CDA52-4490-4F6B-B5E2-7E1013B48DCB}" destId="{684DBEB3-544A-459A-BD3E-0C23BD85D283}" srcOrd="0" destOrd="0" presId="urn:microsoft.com/office/officeart/2005/8/layout/hProcess4"/>
    <dgm:cxn modelId="{8D473FB6-E90E-4318-B125-E3E3A4DD7F0A}" type="presParOf" srcId="{597CDA52-4490-4F6B-B5E2-7E1013B48DCB}" destId="{F17C4872-B226-4FEA-888B-50DE6D1A8347}" srcOrd="1" destOrd="0" presId="urn:microsoft.com/office/officeart/2005/8/layout/hProcess4"/>
    <dgm:cxn modelId="{6A37E809-F4FC-46EF-BC45-0BBCEB21364D}" type="presParOf" srcId="{597CDA52-4490-4F6B-B5E2-7E1013B48DCB}" destId="{0B056573-9B18-4C25-BBEE-1E2B890FFB05}" srcOrd="2" destOrd="0" presId="urn:microsoft.com/office/officeart/2005/8/layout/hProcess4"/>
    <dgm:cxn modelId="{F84FF2A0-14FA-4795-9573-DCD15D31FF82}" type="presParOf" srcId="{0B056573-9B18-4C25-BBEE-1E2B890FFB05}" destId="{D5FB2BD2-843A-4B84-9F3B-4EA9369AC561}" srcOrd="0" destOrd="0" presId="urn:microsoft.com/office/officeart/2005/8/layout/hProcess4"/>
    <dgm:cxn modelId="{C4B8AA22-F365-4BEA-AC06-B232D775E133}" type="presParOf" srcId="{D5FB2BD2-843A-4B84-9F3B-4EA9369AC561}" destId="{6A291772-4FE5-4C5A-B1B1-04EB3AFC8BC7}" srcOrd="0" destOrd="0" presId="urn:microsoft.com/office/officeart/2005/8/layout/hProcess4"/>
    <dgm:cxn modelId="{2371F98A-F19E-4B5C-A339-B0026C84BD1B}" type="presParOf" srcId="{D5FB2BD2-843A-4B84-9F3B-4EA9369AC561}" destId="{66A91EA9-EA5D-4830-B601-F0F0CE90FFD6}" srcOrd="1" destOrd="0" presId="urn:microsoft.com/office/officeart/2005/8/layout/hProcess4"/>
    <dgm:cxn modelId="{E3723F74-5F46-4795-AAB1-778D19101D68}" type="presParOf" srcId="{D5FB2BD2-843A-4B84-9F3B-4EA9369AC561}" destId="{A32743FF-9F9F-4E70-8EA0-54766F2E10D2}" srcOrd="2" destOrd="0" presId="urn:microsoft.com/office/officeart/2005/8/layout/hProcess4"/>
    <dgm:cxn modelId="{BD503C01-6D03-4A3E-8588-1FA5ECF6BB81}" type="presParOf" srcId="{D5FB2BD2-843A-4B84-9F3B-4EA9369AC561}" destId="{6726CB18-BA60-43C2-86FE-488FC45FF875}" srcOrd="3" destOrd="0" presId="urn:microsoft.com/office/officeart/2005/8/layout/hProcess4"/>
    <dgm:cxn modelId="{08FE3EE2-6D7E-47C5-9800-13A2AB99D45B}" type="presParOf" srcId="{D5FB2BD2-843A-4B84-9F3B-4EA9369AC561}" destId="{25CBD465-2252-408B-BC5C-425353982A86}" srcOrd="4" destOrd="0" presId="urn:microsoft.com/office/officeart/2005/8/layout/hProcess4"/>
    <dgm:cxn modelId="{A0B40F8E-C59B-46F5-9F6E-76A3BE1257A3}" type="presParOf" srcId="{0B056573-9B18-4C25-BBEE-1E2B890FFB05}" destId="{6C59493D-14FF-4514-B87D-45118D8E70AC}" srcOrd="1" destOrd="0" presId="urn:microsoft.com/office/officeart/2005/8/layout/hProcess4"/>
    <dgm:cxn modelId="{F87A5D2C-FB8F-4336-AF5F-00CE4FB77283}" type="presParOf" srcId="{0B056573-9B18-4C25-BBEE-1E2B890FFB05}" destId="{33DD43FC-1E6B-479E-B442-28814CF98F7F}" srcOrd="2" destOrd="0" presId="urn:microsoft.com/office/officeart/2005/8/layout/hProcess4"/>
    <dgm:cxn modelId="{5C31E032-18E1-4376-B0F7-06D5D3860643}" type="presParOf" srcId="{33DD43FC-1E6B-479E-B442-28814CF98F7F}" destId="{4D1E1005-E0D1-45E1-BC57-9DACBC3E8A43}" srcOrd="0" destOrd="0" presId="urn:microsoft.com/office/officeart/2005/8/layout/hProcess4"/>
    <dgm:cxn modelId="{60967364-5C79-49A4-85B2-621F47C6C96C}" type="presParOf" srcId="{33DD43FC-1E6B-479E-B442-28814CF98F7F}" destId="{2C968F8E-6543-4AC2-8B52-7496EBAC4C76}" srcOrd="1" destOrd="0" presId="urn:microsoft.com/office/officeart/2005/8/layout/hProcess4"/>
    <dgm:cxn modelId="{8FCB8C08-4DE7-4153-A60F-114CF7705C15}" type="presParOf" srcId="{33DD43FC-1E6B-479E-B442-28814CF98F7F}" destId="{62DAD3C1-3CA2-45D5-B883-13F9C0D78934}" srcOrd="2" destOrd="0" presId="urn:microsoft.com/office/officeart/2005/8/layout/hProcess4"/>
    <dgm:cxn modelId="{59D915AB-9644-420B-B22A-9422BF3F5AF7}" type="presParOf" srcId="{33DD43FC-1E6B-479E-B442-28814CF98F7F}" destId="{04D7F83D-7261-4647-9A57-2EB2A17BA1D0}" srcOrd="3" destOrd="0" presId="urn:microsoft.com/office/officeart/2005/8/layout/hProcess4"/>
    <dgm:cxn modelId="{2A60A28E-4E45-448E-B2A5-F1CF58888E70}" type="presParOf" srcId="{33DD43FC-1E6B-479E-B442-28814CF98F7F}" destId="{DBEFA6A8-3D76-4881-98E5-ADC7805B2387}" srcOrd="4" destOrd="0" presId="urn:microsoft.com/office/officeart/2005/8/layout/hProcess4"/>
  </dgm:cxnLst>
  <dgm:bg/>
  <dgm:whole/>
</dgm:dataModel>
</file>

<file path=word/diagrams/layout1.xml><?xml version="1.0" encoding="utf-8"?>
<dgm:layoutDef xmlns:dgm="http://schemas.openxmlformats.org/drawingml/2006/diagram" xmlns:a="http://schemas.openxmlformats.org/drawingml/2006/main" uniqueId="urn:microsoft.com/office/officeart/2005/8/layout/hProcess4">
  <dgm:title val=""/>
  <dgm:desc val=""/>
  <dgm:catLst>
    <dgm:cat type="process" pri="4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alg type="composite"/>
    <dgm:shape xmlns:r="http://schemas.openxmlformats.org/officeDocument/2006/relationships" r:blip="">
      <dgm:adjLst/>
    </dgm:shape>
    <dgm:presOf/>
    <dgm:constrLst>
      <dgm:constr type="w" for="ch" forName="tSp" refType="w"/>
      <dgm:constr type="h" for="ch" forName="tSp" refType="h" fact="0.15"/>
      <dgm:constr type="l" for="ch" forName="tSp"/>
      <dgm:constr type="t" for="ch" forName="tSp"/>
      <dgm:constr type="w" for="ch" forName="bSp" refType="w"/>
      <dgm:constr type="h" for="ch" forName="bSp" refType="h" fact="0.15"/>
      <dgm:constr type="l" for="ch" forName="bSp"/>
      <dgm:constr type="t" for="ch" forName="bSp" refType="h" fact="0.85"/>
      <dgm:constr type="w" for="ch" forName="process" refType="w"/>
      <dgm:constr type="h" for="ch" forName="process" refType="h" fact="0.7"/>
      <dgm:constr type="l" for="ch" forName="process"/>
      <dgm:constr type="t" for="ch" forName="process" refType="h" fact="0.15"/>
    </dgm:constrLst>
    <dgm:ruleLst/>
    <dgm:layoutNode name="tSp">
      <dgm:alg type="sp"/>
      <dgm:shape xmlns:r="http://schemas.openxmlformats.org/officeDocument/2006/relationships" r:blip="">
        <dgm:adjLst/>
      </dgm:shape>
      <dgm:presOf/>
      <dgm:constrLst/>
      <dgm:ruleLst/>
    </dgm:layoutNode>
    <dgm:layoutNode name="bSp">
      <dgm:alg type="sp"/>
      <dgm:shape xmlns:r="http://schemas.openxmlformats.org/officeDocument/2006/relationships" r:blip="">
        <dgm:adjLst/>
      </dgm:shape>
      <dgm:presOf/>
      <dgm:constrLst/>
      <dgm:ruleLst/>
    </dgm:layoutNode>
    <dgm:layoutNode name="process">
      <dgm:choose name="Name1">
        <dgm:if name="Name2" func="var" arg="dir" op="equ" val="norm">
          <dgm:alg type="lin">
            <dgm:param type="linDir" val="fromL"/>
          </dgm:alg>
        </dgm:if>
        <dgm:else name="Name3">
          <dgm:alg type="lin">
            <dgm:param type="linDir" val="fromR"/>
          </dgm:alg>
        </dgm:else>
      </dgm:choose>
      <dgm:shape xmlns:r="http://schemas.openxmlformats.org/officeDocument/2006/relationships" r:blip="">
        <dgm:adjLst/>
      </dgm:shape>
      <dgm:presOf/>
      <dgm:constrLst>
        <dgm:constr type="w" for="ch" forName="composite1" refType="w"/>
        <dgm:constr type="w" for="ch" forName="composite2" refType="w" refFor="ch" refForName="composite1" op="equ"/>
        <dgm:constr type="h" for="ch" forName="composite1" refType="h"/>
        <dgm:constr type="h" for="ch" forName="composite2" refType="h" refFor="ch" refForName="composite1" op="equ"/>
        <dgm:constr type="primFontSz" for="des" forName="parentNode1" val="65"/>
        <dgm:constr type="primFontSz" for="des" forName="parentNode2" refType="primFontSz" refFor="des" refForName="parentNode1" op="equ"/>
        <dgm:constr type="secFontSz" for="des" forName="childNode1tx" val="65"/>
        <dgm:constr type="secFontSz" for="des" forName="childNode2tx" refType="secFontSz" refFor="des" refForName="childNode1tx" op="equ"/>
        <dgm:constr type="w" for="des" ptType="sibTrans" refType="w" refFor="ch" refForName="composite1" op="equ" fact="0.05"/>
      </dgm:constrLst>
      <dgm:ruleLst/>
      <dgm:forEach name="Name4" axis="ch" ptType="node" step="2">
        <dgm:layoutNode name="composite1">
          <dgm:alg type="composite">
            <dgm:param type="ar" val="0.943"/>
          </dgm:alg>
          <dgm:shape xmlns:r="http://schemas.openxmlformats.org/officeDocument/2006/relationships" r:blip="">
            <dgm:adjLst/>
          </dgm:shape>
          <dgm:presOf/>
          <dgm:choose name="Name5">
            <dgm:if name="Name6" func="var" arg="dir" op="equ" val="norm">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dgm:constr type="w" for="ch" forName="childNode1tx" refType="w" fact="0.9"/>
                <dgm:constr type="h" for="ch" forName="childNode1tx" refType="h" fact="0.55"/>
                <dgm:constr type="t" for="ch" forName="childNode1tx" refType="h" fact="0.15"/>
                <dgm:constr type="l" for="ch" forName="childNode1tx"/>
                <dgm:constr type="w" for="ch" forName="parentNode1" refType="w" fact="0.8"/>
                <dgm:constr type="h" for="ch" forName="parentNode1" refType="h" fact="0.3"/>
                <dgm:constr type="t" for="ch" forName="parentNode1" refType="h" fact="0.7"/>
                <dgm:constr type="l" for="ch" forName="parentNode1" refType="w" fact="0.2"/>
                <dgm:constr type="w" for="ch" forName="connSite1" refType="w" fact="0.01"/>
                <dgm:constr type="h" for="ch" forName="connSite1" refType="h" fact="0.01"/>
                <dgm:constr type="t" for="ch" forName="connSite1"/>
                <dgm:constr type="l" for="ch" forName="connSite1" refType="w" fact="0.35"/>
              </dgm:constrLst>
            </dgm:if>
            <dgm:else name="Name7">
              <dgm:constrLst>
                <dgm:constr type="h" refType="w" fact="1.06"/>
                <dgm:constr type="w" for="ch" forName="dummyNode1" refType="w"/>
                <dgm:constr type="h" for="ch" forName="dummyNode1" refType="h"/>
                <dgm:constr type="t" for="ch" forName="dummyNode1"/>
                <dgm:constr type="l" for="ch" forName="dummyNode1"/>
                <dgm:constr type="w" for="ch" forName="childNode1" refType="w" fact="0.9"/>
                <dgm:constr type="h" for="ch" forName="childNode1" refType="h" fact="0.7"/>
                <dgm:constr type="t" for="ch" forName="childNode1" refType="h" fact="0.15"/>
                <dgm:constr type="l" for="ch" forName="childNode1" refType="w" fact="0.1"/>
                <dgm:constr type="w" for="ch" forName="childNode1tx" refType="w" fact="0.9"/>
                <dgm:constr type="h" for="ch" forName="childNode1tx" refType="h" fact="0.55"/>
                <dgm:constr type="t" for="ch" forName="childNode1tx" refType="h" fact="0.15"/>
                <dgm:constr type="l" for="ch" forName="childNode1tx" refType="w" fact="0.1"/>
                <dgm:constr type="w" for="ch" forName="parentNode1" refType="w" fact="0.8"/>
                <dgm:constr type="h" for="ch" forName="parentNode1" refType="h" fact="0.3"/>
                <dgm:constr type="t" for="ch" forName="parentNode1" refType="h" fact="0.7"/>
                <dgm:constr type="l" for="ch" forName="parentNode1"/>
                <dgm:constr type="w" for="ch" forName="connSite1" refType="w" fact="0.01"/>
                <dgm:constr type="h" for="ch" forName="connSite1" refType="h" fact="0.01"/>
                <dgm:constr type="t" for="ch" forName="connSite1"/>
                <dgm:constr type="l" for="ch" forName="connSite1" refType="w" fact="0.65"/>
              </dgm:constrLst>
            </dgm:else>
          </dgm:choose>
          <dgm:ruleLst/>
          <dgm:layoutNode name="dummyNode1">
            <dgm:alg type="sp"/>
            <dgm:shape xmlns:r="http://schemas.openxmlformats.org/officeDocument/2006/relationships" type="rect" r:blip="" hideGeom="1">
              <dgm:adjLst/>
            </dgm:shape>
            <dgm:presOf/>
            <dgm:constrLst/>
            <dgm:ruleLst/>
          </dgm:layoutNode>
          <dgm:layoutNode name="childNode1"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1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1" styleLbl="node1">
            <dgm:varLst>
              <dgm:chMax val="1"/>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1" moveWith="childNode1">
            <dgm:alg type="sp"/>
            <dgm:shape xmlns:r="http://schemas.openxmlformats.org/officeDocument/2006/relationships" r:blip="">
              <dgm:adjLst/>
            </dgm:shape>
            <dgm:presOf/>
            <dgm:constrLst/>
            <dgm:ruleLst/>
          </dgm:layoutNode>
        </dgm:layoutNode>
        <dgm:forEach name="Name8" axis="followSib" ptType="sibTrans" cnt="1">
          <dgm:layoutNode name="Name9">
            <dgm:alg type="conn">
              <dgm:param type="connRout" val="curve"/>
              <dgm:param type="srcNode" val="parentNode1"/>
              <dgm:param type="dstNode" val="connSite2"/>
              <dgm:param type="begPts" val="bCtr"/>
              <dgm:param type="endPts" val="bCtr"/>
            </dgm:alg>
            <dgm:shape xmlns:r="http://schemas.openxmlformats.org/officeDocument/2006/relationships" type="conn" r:blip="" zOrderOff="-2">
              <dgm:adjLst/>
            </dgm:shape>
            <dgm:presOf axis="self"/>
            <dgm:choose name="Name10">
              <dgm:if name="Name11" func="var" arg="dir" op="equ" val="norm">
                <dgm:constrLst>
                  <dgm:constr type="h" refType="w" fact="0.35"/>
                  <dgm:constr type="wArH" refType="h"/>
                  <dgm:constr type="hArH" refType="h"/>
                  <dgm:constr type="connDist"/>
                  <dgm:constr type="diam" refType="connDist" fact="-1.15"/>
                  <dgm:constr type="begPad"/>
                  <dgm:constr type="endPad"/>
                </dgm:constrLst>
              </dgm:if>
              <dgm:else name="Name12">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name="Name13" axis="followSib" ptType="node" cnt="1">
          <dgm:layoutNode name="composite2">
            <dgm:alg type="composite">
              <dgm:param type="ar" val="0.943"/>
            </dgm:alg>
            <dgm:shape xmlns:r="http://schemas.openxmlformats.org/officeDocument/2006/relationships" r:blip="">
              <dgm:adjLst/>
            </dgm:shape>
            <dgm:presOf/>
            <dgm:choose name="Name14">
              <dgm:if name="Name15" func="var" arg="dir" op="equ" val="norm">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dgm:constr type="w" for="ch" forName="childNode2tx" refType="w" fact="0.9"/>
                  <dgm:constr type="h" for="ch" forName="childNode2tx" refType="h" fact="0.55"/>
                  <dgm:constr type="t" for="ch" forName="childNode2tx" refType="h" fact="0.3"/>
                  <dgm:constr type="l" for="ch" forName="childNode2tx"/>
                  <dgm:constr type="w" for="ch" forName="parentNode2" refType="w" fact="0.8"/>
                  <dgm:constr type="h" for="ch" forName="parentNode2" refType="h" fact="0.3"/>
                  <dgm:constr type="t" for="ch" forName="parentNode2"/>
                  <dgm:constr type="l" for="ch" forName="parentNode2" refType="w" fact="0.2"/>
                  <dgm:constr type="w" for="ch" forName="connSite2" refType="w" fact="0.01"/>
                  <dgm:constr type="h" for="ch" forName="connSite2" refType="h" fact="0.01"/>
                  <dgm:constr type="t" for="ch" forName="connSite2" refType="h" fact="0.99"/>
                  <dgm:constr type="l" for="ch" forName="connSite2" refType="w" fact="0.25"/>
                </dgm:constrLst>
              </dgm:if>
              <dgm:else name="Name16">
                <dgm:constrLst>
                  <dgm:constr type="h" refType="w" fact="1.06"/>
                  <dgm:constr type="w" for="ch" forName="dummyNode2" refType="w"/>
                  <dgm:constr type="h" for="ch" forName="dummyNode2" refType="h"/>
                  <dgm:constr type="t" for="ch" forName="dummyNode2"/>
                  <dgm:constr type="l" for="ch" forName="dummyNode2"/>
                  <dgm:constr type="w" for="ch" forName="childNode2" refType="w" fact="0.9"/>
                  <dgm:constr type="h" for="ch" forName="childNode2" refType="h" fact="0.7"/>
                  <dgm:constr type="t" for="ch" forName="childNode2" refType="h" fact="0.15"/>
                  <dgm:constr type="l" for="ch" forName="childNode2" refType="w" fact="0.1"/>
                  <dgm:constr type="w" for="ch" forName="childNode2tx" refType="w" fact="0.9"/>
                  <dgm:constr type="h" for="ch" forName="childNode2tx" refType="h" fact="0.55"/>
                  <dgm:constr type="t" for="ch" forName="childNode2tx" refType="h" fact="0.3"/>
                  <dgm:constr type="l" for="ch" forName="childNode2tx" refType="w" fact="0.1"/>
                  <dgm:constr type="w" for="ch" forName="parentNode2" refType="w" fact="0.8"/>
                  <dgm:constr type="h" for="ch" forName="parentNode2" refType="h" fact="0.3"/>
                  <dgm:constr type="t" for="ch" forName="parentNode2"/>
                  <dgm:constr type="l" for="ch" forName="parentNode2"/>
                  <dgm:constr type="w" for="ch" forName="connSite2" refType="w" fact="0.01"/>
                  <dgm:constr type="h" for="ch" forName="connSite2" refType="h" fact="0.01"/>
                  <dgm:constr type="t" for="ch" forName="connSite2" refType="h" fact="0.99"/>
                  <dgm:constr type="l" for="ch" forName="connSite2" refType="w" fact="0.85"/>
                </dgm:constrLst>
              </dgm:else>
            </dgm:choose>
            <dgm:ruleLst/>
            <dgm:layoutNode name="dummyNode2">
              <dgm:alg type="sp"/>
              <dgm:shape xmlns:r="http://schemas.openxmlformats.org/officeDocument/2006/relationships" type="rect" r:blip="" hideGeom="1">
                <dgm:adjLst/>
              </dgm:shape>
              <dgm:presOf/>
              <dgm:constrLst/>
              <dgm:ruleLst/>
            </dgm:layoutNode>
            <dgm:layoutNode name="childNode2" styleLbl="bgAcc1">
              <dgm:varLst>
                <dgm:bulletEnabled val="1"/>
              </dgm:varLst>
              <dgm:alg type="sp"/>
              <dgm:shape xmlns:r="http://schemas.openxmlformats.org/officeDocument/2006/relationships" type="roundRect" r:blip="">
                <dgm:adjLst>
                  <dgm:adj idx="1" val="0.1"/>
                </dgm:adjLst>
              </dgm:shape>
              <dgm:presOf axis="des" ptType="node"/>
              <dgm:constrLst/>
              <dgm:ruleLst/>
            </dgm:layoutNode>
            <dgm:layoutNode name="childNode2tx" styleLbl="bgAcc1">
              <dgm:varLst>
                <dgm:bulletEnabled val="1"/>
              </dgm:varLst>
              <dgm:alg type="tx">
                <dgm:param type="stBulletLvl" val="1"/>
              </dgm:alg>
              <dgm:shape xmlns:r="http://schemas.openxmlformats.org/officeDocument/2006/relationships" type="roundRect" r:blip="" hideGeom="1">
                <dgm:adjLst>
                  <dgm:adj idx="1" val="0.1"/>
                </dgm:adjLst>
              </dgm:shape>
              <dgm:presOf axis="des" ptType="node"/>
              <dgm:constrLst>
                <dgm:constr type="secFontSz" val="65"/>
                <dgm:constr type="primFontSz" refType="secFontSz"/>
                <dgm:constr type="tMarg" refType="secFontSz" fact="0.15"/>
                <dgm:constr type="bMarg" refType="secFontSz" fact="0.15"/>
                <dgm:constr type="lMarg" refType="secFontSz" fact="0.15"/>
                <dgm:constr type="rMarg" refType="secFontSz" fact="0.15"/>
              </dgm:constrLst>
              <dgm:ruleLst>
                <dgm:rule type="secFontSz" val="5" fact="NaN" max="NaN"/>
              </dgm:ruleLst>
            </dgm:layoutNode>
            <dgm:layoutNode name="parentNode2" styleLbl="node1">
              <dgm:varLst>
                <dgm:chMax val="0"/>
                <dgm:bulletEnabled val="1"/>
              </dgm:varLst>
              <dgm:alg type="tx"/>
              <dgm:shape xmlns:r="http://schemas.openxmlformats.org/officeDocument/2006/relationships" type="roundRect" r:blip="">
                <dgm:adjLst>
                  <dgm:adj idx="1" val="0.1"/>
                </dgm:adjLst>
              </dgm:shape>
              <dgm:presOf axis="self"/>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connSite2" moveWith="childNode2">
              <dgm:alg type="sp"/>
              <dgm:shape xmlns:r="http://schemas.openxmlformats.org/officeDocument/2006/relationships" r:blip="">
                <dgm:adjLst/>
              </dgm:shape>
              <dgm:presOf/>
              <dgm:constrLst/>
              <dgm:ruleLst/>
            </dgm:layoutNode>
          </dgm:layoutNode>
          <dgm:forEach name="Name17" axis="followSib" ptType="sibTrans" cnt="1">
            <dgm:layoutNode name="Name18">
              <dgm:alg type="conn">
                <dgm:param type="connRout" val="curve"/>
                <dgm:param type="srcNode" val="parentNode2"/>
                <dgm:param type="dstNode" val="connSite1"/>
                <dgm:param type="begPts" val="tCtr"/>
                <dgm:param type="endPts" val="tCtr"/>
              </dgm:alg>
              <dgm:shape xmlns:r="http://schemas.openxmlformats.org/officeDocument/2006/relationships" type="conn" r:blip="" zOrderOff="-2">
                <dgm:adjLst/>
              </dgm:shape>
              <dgm:presOf axis="self"/>
              <dgm:choose name="Name19">
                <dgm:if name="Name20" func="var" arg="dir" op="equ" val="norm">
                  <dgm:constrLst>
                    <dgm:constr type="h" refType="w" fact="0.35"/>
                    <dgm:constr type="wArH" refType="h"/>
                    <dgm:constr type="hArH" refType="h"/>
                    <dgm:constr type="connDist"/>
                    <dgm:constr type="diam" refType="connDist" fact="1.15"/>
                    <dgm:constr type="begPad"/>
                    <dgm:constr type="endPad"/>
                  </dgm:constrLst>
                </dgm:if>
                <dgm:else name="Name21">
                  <dgm:constrLst>
                    <dgm:constr type="h" refType="w" fact="0.35"/>
                    <dgm:constr type="wArH" refType="h"/>
                    <dgm:constr type="hArH" refType="h"/>
                    <dgm:constr type="connDist"/>
                    <dgm:constr type="diam" refType="connDist" fact="-1.15"/>
                    <dgm:constr type="begPad"/>
                    <dgm:constr type="endPad"/>
                  </dgm:constrLst>
                </dgm:else>
              </dgm:choose>
              <dgm:ruleLst/>
            </dgm:layoutNode>
          </dgm:forEach>
        </dgm:forEach>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3d1">
  <dgm:title val=""/>
  <dgm:desc val=""/>
  <dgm:catLst>
    <dgm:cat type="3D" pri="11100"/>
  </dgm:catLst>
  <dgm:scene3d>
    <a:camera prst="orthographicFront"/>
    <a:lightRig rig="threePt" dir="t"/>
  </dgm:scene3d>
  <dgm:styleLbl name="node0">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vennNode1">
    <dgm:scene3d>
      <a:camera prst="orthographicFront"/>
      <a:lightRig rig="flat" dir="t"/>
    </dgm:scene3d>
    <dgm:sp3d prstMaterial="plastic">
      <a:bevelT w="120900" h="88900"/>
      <a:bevelB w="88900" h="31750" prst="angle"/>
    </dgm:sp3d>
    <dgm:txPr/>
    <dgm:style>
      <a:lnRef idx="0">
        <a:scrgbClr r="0" g="0" b="0"/>
      </a:lnRef>
      <a:fillRef idx="1">
        <a:scrgbClr r="0" g="0" b="0"/>
      </a:fillRef>
      <a:effectRef idx="1">
        <a:scrgbClr r="0" g="0" b="0"/>
      </a:effectRef>
      <a:fontRef idx="minor">
        <a:schemeClr val="tx1"/>
      </a:fontRef>
    </dgm:style>
  </dgm:styleLbl>
  <dgm:styleLbl name="alignNode1">
    <dgm:scene3d>
      <a:camera prst="orthographicFront"/>
      <a:lightRig rig="flat" dir="t"/>
    </dgm:scene3d>
    <dgm:sp3d prstMaterial="plastic">
      <a:bevelT w="120900" h="88900"/>
      <a:bevelB w="88900" h="31750" prst="angle"/>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flat" dir="t"/>
    </dgm:scene3d>
    <dgm:sp3d prstMaterial="plastic">
      <a:bevelT w="120900" h="88900"/>
      <a:bevelB w="88900" h="31750" prst="angle"/>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node4">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fgImgPlace1">
    <dgm:scene3d>
      <a:camera prst="orthographicFront"/>
      <a:lightRig rig="flat" dir="t"/>
    </dgm:scene3d>
    <dgm:sp3d z="1270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alignImgPlace1">
    <dgm:scene3d>
      <a:camera prst="orthographicFront"/>
      <a:lightRig rig="flat" dir="t"/>
    </dgm:scene3d>
    <dgm:sp3d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bgImgPlace1">
    <dgm:scene3d>
      <a:camera prst="orthographicFront"/>
      <a:lightRig rig="flat" dir="t"/>
    </dgm:scene3d>
    <dgm:sp3d z="-190500" prstMaterial="plastic">
      <a:bevelT w="88900" h="88900"/>
      <a:bevelB w="88900" h="31750" prst="angle"/>
    </dgm:sp3d>
    <dgm:txPr/>
    <dgm:style>
      <a:lnRef idx="0">
        <a:scrgbClr r="0" g="0" b="0"/>
      </a:lnRef>
      <a:fillRef idx="3">
        <a:scrgbClr r="0" g="0" b="0"/>
      </a:fillRef>
      <a:effectRef idx="2">
        <a:scrgbClr r="0" g="0" b="0"/>
      </a:effectRef>
      <a:fontRef idx="minor"/>
    </dgm:style>
  </dgm:styleLbl>
  <dgm:styleLbl name="sibTrans2D1">
    <dgm:scene3d>
      <a:camera prst="orthographicFront"/>
      <a:lightRig rig="flat" dir="t"/>
    </dgm:scene3d>
    <dgm:sp3d z="-80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flat" dir="t"/>
    </dgm:scene3d>
    <dgm:sp3d z="1270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flat" dir="t"/>
    </dgm:scene3d>
    <dgm:sp3d z="-190500" prstMaterial="plastic">
      <a:bevelT w="50800" h="50800"/>
      <a:bevelB w="25400" h="25400" prst="angle"/>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flat"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1">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2">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asst3">
    <dgm:scene3d>
      <a:camera prst="orthographicFront"/>
      <a:lightRig rig="flat" dir="t"/>
    </dgm:scene3d>
    <dgm:sp3d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1">
    <dgm:scene3d>
      <a:camera prst="orthographicFront"/>
      <a:lightRig rig="flat" dir="t"/>
    </dgm:scene3d>
    <dgm:sp3d z="-10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2">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3">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flat" dir="t"/>
    </dgm:scene3d>
    <dgm:sp3d z="-60000" prstMaterial="plastic">
      <a:bevelT w="120900" h="88900"/>
      <a:bevelB w="88900" h="31750" prst="angle"/>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flat" dir="t"/>
    </dgm:scene3d>
    <dgm:sp3d prstMaterial="matte"/>
    <dgm:txPr/>
    <dgm:style>
      <a:lnRef idx="2">
        <a:scrgbClr r="0" g="0" b="0"/>
      </a:lnRef>
      <a:fillRef idx="0">
        <a:scrgbClr r="0" g="0" b="0"/>
      </a:fillRef>
      <a:effectRef idx="0">
        <a:scrgbClr r="0" g="0" b="0"/>
      </a:effectRef>
      <a:fontRef idx="minor"/>
    </dgm:style>
  </dgm:styleLbl>
  <dgm:styleLbl name="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con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tr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F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solidAlignAcc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solidBgAcc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flat" dir="t"/>
    </dgm:scene3d>
    <dgm:sp3d extrusionH="12700" prstMaterial="plastic">
      <a:bevelT w="50800" h="50800"/>
    </dgm:sp3d>
    <dgm:txPr/>
    <dgm:style>
      <a:lnRef idx="1">
        <a:scrgbClr r="0" g="0" b="0"/>
      </a:lnRef>
      <a:fillRef idx="1">
        <a:scrgbClr r="0" g="0" b="0"/>
      </a:fillRef>
      <a:effectRef idx="2">
        <a:scrgbClr r="0" g="0" b="0"/>
      </a:effectRef>
      <a:fontRef idx="minor"/>
    </dgm:style>
  </dgm:styleLbl>
  <dgm:styleLbl name="bgAccFollowNode1">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0">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2">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3">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fgAcc4">
    <dgm:scene3d>
      <a:camera prst="orthographicFront"/>
      <a:lightRig rig="flat" dir="t"/>
    </dgm:scene3d>
    <dgm:sp3d z="190500" extrusionH="12700" prstMaterial="plastic">
      <a:bevelT w="50800" h="50800"/>
    </dgm:sp3d>
    <dgm:txPr/>
    <dgm:style>
      <a:lnRef idx="1">
        <a:scrgbClr r="0" g="0" b="0"/>
      </a:lnRef>
      <a:fillRef idx="1">
        <a:scrgbClr r="0" g="0" b="0"/>
      </a:fillRef>
      <a:effectRef idx="2">
        <a:scrgbClr r="0" g="0" b="0"/>
      </a:effectRef>
      <a:fontRef idx="minor"/>
    </dgm:style>
  </dgm:styleLbl>
  <dgm:styleLbl name="bgShp">
    <dgm:scene3d>
      <a:camera prst="orthographicFront"/>
      <a:lightRig rig="flat" dir="t"/>
    </dgm:scene3d>
    <dgm:sp3d z="-190500" extrusionH="12700" prstMaterial="plastic">
      <a:bevelT w="50800" h="50800"/>
    </dgm:sp3d>
    <dgm:txPr/>
    <dgm:style>
      <a:lnRef idx="0">
        <a:scrgbClr r="0" g="0" b="0"/>
      </a:lnRef>
      <a:fillRef idx="3">
        <a:scrgbClr r="0" g="0" b="0"/>
      </a:fillRef>
      <a:effectRef idx="0">
        <a:scrgbClr r="0" g="0" b="0"/>
      </a:effectRef>
      <a:fontRef idx="minor"/>
    </dgm:style>
  </dgm:styleLbl>
  <dgm:styleLbl name="dkBgShp">
    <dgm:scene3d>
      <a:camera prst="orthographicFront"/>
      <a:lightRig rig="flat" dir="t"/>
    </dgm:scene3d>
    <dgm:sp3d z="-190500" extrusionH="12700" prstMaterial="plastic">
      <a:bevelT w="50800" h="50800"/>
    </dgm:sp3d>
    <dgm:txPr/>
    <dgm:style>
      <a:lnRef idx="0">
        <a:scrgbClr r="0" g="0" b="0"/>
      </a:lnRef>
      <a:fillRef idx="2">
        <a:scrgbClr r="0" g="0" b="0"/>
      </a:fillRef>
      <a:effectRef idx="0">
        <a:scrgbClr r="0" g="0" b="0"/>
      </a:effectRef>
      <a:fontRef idx="minor"/>
    </dgm:style>
  </dgm:styleLbl>
  <dgm:styleLbl name="trBgShp">
    <dgm:scene3d>
      <a:camera prst="orthographicFront"/>
      <a:lightRig rig="flat" dir="t"/>
    </dgm:scene3d>
    <dgm:sp3d z="-190500" extrusionH="12700" prstMaterial="matte"/>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z="190500" prstMaterial="plastic">
      <a:bevelT w="120900" h="88900"/>
      <a:bevelB w="88900" h="31750" prst="angle"/>
    </dgm:sp3d>
    <dgm:txPr/>
    <dgm:style>
      <a:lnRef idx="0">
        <a:scrgbClr r="0" g="0" b="0"/>
      </a:lnRef>
      <a:fillRef idx="1">
        <a:scrgbClr r="0" g="0" b="0"/>
      </a:fillRef>
      <a:effectRef idx="3">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9D5A7959D014B62831762ED2CAE8DAC"/>
        <w:category>
          <w:name w:val="Generale"/>
          <w:gallery w:val="placeholder"/>
        </w:category>
        <w:types>
          <w:type w:val="bbPlcHdr"/>
        </w:types>
        <w:behaviors>
          <w:behavior w:val="content"/>
        </w:behaviors>
        <w:guid w:val="{D227A14E-518C-4395-B27A-4845E207C60B}"/>
      </w:docPartPr>
      <w:docPartBody>
        <w:p w:rsidR="00FD3270" w:rsidRDefault="00FD3270" w:rsidP="00FD3270">
          <w:pPr>
            <w:pStyle w:val="D9D5A7959D014B62831762ED2CAE8DAC"/>
          </w:pPr>
          <w:r>
            <w:rPr>
              <w:rFonts w:asciiTheme="majorHAnsi" w:eastAsiaTheme="majorEastAsia" w:hAnsiTheme="majorHAnsi" w:cstheme="majorBidi"/>
              <w:sz w:val="32"/>
              <w:szCs w:val="32"/>
            </w:rPr>
            <w:t>[Digitare il titolo del documento]</w:t>
          </w:r>
        </w:p>
      </w:docPartBody>
    </w:docPart>
    <w:docPart>
      <w:docPartPr>
        <w:name w:val="B3081E00C335472BB93F400247344E06"/>
        <w:category>
          <w:name w:val="Generale"/>
          <w:gallery w:val="placeholder"/>
        </w:category>
        <w:types>
          <w:type w:val="bbPlcHdr"/>
        </w:types>
        <w:behaviors>
          <w:behavior w:val="content"/>
        </w:behaviors>
        <w:guid w:val="{78E541E9-0B5A-402A-9CDE-2503A968F398}"/>
      </w:docPartPr>
      <w:docPartBody>
        <w:p w:rsidR="00FD3270" w:rsidRDefault="00FD3270" w:rsidP="00FD3270">
          <w:pPr>
            <w:pStyle w:val="B3081E00C335472BB93F400247344E06"/>
          </w:pPr>
          <w:r>
            <w:rPr>
              <w:rFonts w:asciiTheme="majorHAnsi" w:eastAsiaTheme="majorEastAsia" w:hAnsiTheme="majorHAnsi" w:cstheme="majorBidi"/>
              <w:sz w:val="32"/>
              <w:szCs w:val="32"/>
            </w:rPr>
            <w:t>[Digitare il titolo del documento]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FD3270"/>
    <w:rsid w:val="002F73EC"/>
    <w:rsid w:val="00FD327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F73E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651B171D79154D53B08B3808E2378A89">
    <w:name w:val="651B171D79154D53B08B3808E2378A89"/>
    <w:rsid w:val="00FD3270"/>
  </w:style>
  <w:style w:type="paragraph" w:customStyle="1" w:styleId="103BC7F4C8924EA69390E7F2A3ABA7A8">
    <w:name w:val="103BC7F4C8924EA69390E7F2A3ABA7A8"/>
    <w:rsid w:val="00FD3270"/>
  </w:style>
  <w:style w:type="paragraph" w:customStyle="1" w:styleId="EEB7C2FAEADE4F7B899AF58215A64A1E">
    <w:name w:val="EEB7C2FAEADE4F7B899AF58215A64A1E"/>
    <w:rsid w:val="00FD3270"/>
  </w:style>
  <w:style w:type="paragraph" w:customStyle="1" w:styleId="65B95B68BD684050B8FC1ED6BA96F415">
    <w:name w:val="65B95B68BD684050B8FC1ED6BA96F415"/>
    <w:rsid w:val="00FD3270"/>
  </w:style>
  <w:style w:type="paragraph" w:customStyle="1" w:styleId="0A13FAD65A834DC18B6C5F0754FF01E1">
    <w:name w:val="0A13FAD65A834DC18B6C5F0754FF01E1"/>
    <w:rsid w:val="00FD3270"/>
  </w:style>
  <w:style w:type="paragraph" w:customStyle="1" w:styleId="CB122DAED0034552BF3A83A53D984DB7">
    <w:name w:val="CB122DAED0034552BF3A83A53D984DB7"/>
    <w:rsid w:val="00FD3270"/>
  </w:style>
  <w:style w:type="paragraph" w:customStyle="1" w:styleId="B6C4FF04F8214D06AC74B7BB48735C0D">
    <w:name w:val="B6C4FF04F8214D06AC74B7BB48735C0D"/>
    <w:rsid w:val="00FD3270"/>
  </w:style>
  <w:style w:type="paragraph" w:customStyle="1" w:styleId="3AFCB2EB39BB44929F65ED858DBD0B61">
    <w:name w:val="3AFCB2EB39BB44929F65ED858DBD0B61"/>
    <w:rsid w:val="00FD3270"/>
  </w:style>
  <w:style w:type="paragraph" w:customStyle="1" w:styleId="D0EA8165C3494597A2D220F67EDAD199">
    <w:name w:val="D0EA8165C3494597A2D220F67EDAD199"/>
    <w:rsid w:val="00FD3270"/>
  </w:style>
  <w:style w:type="paragraph" w:customStyle="1" w:styleId="D9D5A7959D014B62831762ED2CAE8DAC">
    <w:name w:val="D9D5A7959D014B62831762ED2CAE8DAC"/>
    <w:rsid w:val="00FD3270"/>
  </w:style>
  <w:style w:type="paragraph" w:customStyle="1" w:styleId="B3081E00C335472BB93F400247344E06">
    <w:name w:val="B3081E00C335472BB93F400247344E06"/>
    <w:rsid w:val="00FD3270"/>
  </w:style>
  <w:style w:type="paragraph" w:customStyle="1" w:styleId="504231652AEF4C8E93DD4254BE311D8B">
    <w:name w:val="504231652AEF4C8E93DD4254BE311D8B"/>
    <w:rsid w:val="00FD3270"/>
  </w:style>
  <w:style w:type="paragraph" w:customStyle="1" w:styleId="4F0B6FD7C6F1434D8FF6ED442AD3DD50">
    <w:name w:val="4F0B6FD7C6F1434D8FF6ED442AD3DD50"/>
    <w:rsid w:val="002F73EC"/>
  </w:style>
  <w:style w:type="paragraph" w:customStyle="1" w:styleId="375D9089E969465A91DDC29642F21EF1">
    <w:name w:val="375D9089E969465A91DDC29642F21EF1"/>
    <w:rsid w:val="002F73E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Giovanna Cigliano</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E7A18C4-D26A-4DE2-9D27-FF3397E19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3003</TotalTime>
  <Pages>126</Pages>
  <Words>23881</Words>
  <Characters>136123</Characters>
  <Application>Microsoft Office Word</Application>
  <DocSecurity>0</DocSecurity>
  <Lines>1134</Lines>
  <Paragraphs>319</Paragraphs>
  <ScaleCrop>false</ScaleCrop>
  <HeadingPairs>
    <vt:vector size="2" baseType="variant">
      <vt:variant>
        <vt:lpstr>Titolo</vt:lpstr>
      </vt:variant>
      <vt:variant>
        <vt:i4>1</vt:i4>
      </vt:variant>
    </vt:vector>
  </HeadingPairs>
  <TitlesOfParts>
    <vt:vector size="1" baseType="lpstr">
      <vt:lpstr>Russia Contemporanea</vt:lpstr>
    </vt:vector>
  </TitlesOfParts>
  <Company>Giovanna Cigliano</Company>
  <LinksUpToDate>false</LinksUpToDate>
  <CharactersWithSpaces>159685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Russia Contemporanea 1  Parte </dc:title>
  <dc:subject>Esame di Storia Contemporanea</dc:subject>
  <dc:creator>HP</dc:creator>
  <cp:lastModifiedBy>HP</cp:lastModifiedBy>
  <cp:revision>60</cp:revision>
  <dcterms:created xsi:type="dcterms:W3CDTF">2017-09-17T19:00:00Z</dcterms:created>
  <dcterms:modified xsi:type="dcterms:W3CDTF">2017-09-19T21:01:00Z</dcterms:modified>
</cp:coreProperties>
</file>