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0491" w:rsidRDefault="00082945">
      <w:pPr>
        <w:rPr>
          <w:color w:val="FF0000"/>
          <w:sz w:val="28"/>
        </w:rPr>
      </w:pPr>
      <w:r>
        <w:rPr>
          <w:color w:val="FF0000"/>
          <w:sz w:val="28"/>
        </w:rPr>
        <w:t>L’organizzazione giudiziaria: le cause private e le cause fiscali</w:t>
      </w:r>
    </w:p>
    <w:p w:rsidR="00082945" w:rsidRDefault="00082945">
      <w:pPr>
        <w:rPr>
          <w:sz w:val="28"/>
        </w:rPr>
      </w:pPr>
      <w:r>
        <w:rPr>
          <w:sz w:val="28"/>
        </w:rPr>
        <w:t xml:space="preserve">Il </w:t>
      </w:r>
      <w:proofErr w:type="spellStart"/>
      <w:r>
        <w:rPr>
          <w:sz w:val="28"/>
        </w:rPr>
        <w:t>princeps</w:t>
      </w:r>
      <w:proofErr w:type="spellEnd"/>
      <w:r>
        <w:rPr>
          <w:sz w:val="28"/>
        </w:rPr>
        <w:t xml:space="preserve"> accentrò funzioni esercitanti in una fitta trama di procuratori e luogotenenti e funzionaria per via diretta e indiretta. Questo fenomeno riguardò l’ordinamento fra Augusto e i Severi. La giurisdizione risaltava come momento essenziale di rapporto fra individui e autorità.</w:t>
      </w:r>
    </w:p>
    <w:p w:rsidR="00082945" w:rsidRDefault="00082945">
      <w:pPr>
        <w:rPr>
          <w:sz w:val="28"/>
        </w:rPr>
      </w:pPr>
      <w:r>
        <w:rPr>
          <w:sz w:val="28"/>
        </w:rPr>
        <w:t>L’intromissione del principe nell’amministrazione della giustizia ebbe un fattore di mutamento sul diritto. Le competenze giudiziarie dei principi rappresentavano il presupposto per una modifica normativa. I principi emanavano editti, lettere direttive in modo da indirizzare l’attività di tutti gli organi giurisdizionali, creando diritto.</w:t>
      </w:r>
    </w:p>
    <w:p w:rsidR="00082945" w:rsidRDefault="00082945">
      <w:pPr>
        <w:rPr>
          <w:sz w:val="28"/>
        </w:rPr>
      </w:pPr>
      <w:r>
        <w:rPr>
          <w:sz w:val="28"/>
        </w:rPr>
        <w:t xml:space="preserve">Per le cause private l’organo di prevalenza era il pretore e il processo formulare a Roma. In Italia al pretore si inviano controversie che non </w:t>
      </w:r>
      <w:proofErr w:type="spellStart"/>
      <w:r>
        <w:rPr>
          <w:sz w:val="28"/>
        </w:rPr>
        <w:t>eran</w:t>
      </w:r>
      <w:proofErr w:type="spellEnd"/>
      <w:r>
        <w:rPr>
          <w:sz w:val="28"/>
        </w:rPr>
        <w:t xml:space="preserve"> soddisfatte dalla competenza dei magistrati locali</w:t>
      </w:r>
      <w:r w:rsidR="00E226A9">
        <w:rPr>
          <w:sz w:val="28"/>
        </w:rPr>
        <w:t>. Adriano articolò la giurisdizione in Italia suddividendola per distretti. Marco Aurelio e Lucio Vero istituirono stabilmente i iridici ossia ex-pretori, posti a occuparsi di questa situazione.</w:t>
      </w:r>
    </w:p>
    <w:p w:rsidR="00E226A9" w:rsidRDefault="00E226A9">
      <w:pPr>
        <w:rPr>
          <w:sz w:val="28"/>
        </w:rPr>
      </w:pPr>
      <w:r>
        <w:rPr>
          <w:sz w:val="28"/>
        </w:rPr>
        <w:t xml:space="preserve">Nelle province del popolo la richiesta giurisdizionale riguardava a proconsoli affiancati da questori. Nelle province di Cesare erano rappresentati invece da legati Augusti pro </w:t>
      </w:r>
      <w:proofErr w:type="spellStart"/>
      <w:r>
        <w:rPr>
          <w:sz w:val="28"/>
        </w:rPr>
        <w:t>praetore</w:t>
      </w:r>
      <w:proofErr w:type="spellEnd"/>
      <w:r>
        <w:rPr>
          <w:sz w:val="28"/>
        </w:rPr>
        <w:t xml:space="preserve"> e potevano avvalersi della collaborazione di </w:t>
      </w:r>
      <w:proofErr w:type="spellStart"/>
      <w:r>
        <w:rPr>
          <w:sz w:val="28"/>
        </w:rPr>
        <w:t>iuridici</w:t>
      </w:r>
      <w:proofErr w:type="spellEnd"/>
      <w:r>
        <w:rPr>
          <w:sz w:val="28"/>
        </w:rPr>
        <w:t>.</w:t>
      </w:r>
    </w:p>
    <w:p w:rsidR="00E226A9" w:rsidRDefault="00E226A9">
      <w:pPr>
        <w:rPr>
          <w:sz w:val="28"/>
        </w:rPr>
      </w:pPr>
      <w:r>
        <w:rPr>
          <w:sz w:val="28"/>
        </w:rPr>
        <w:t xml:space="preserve">La nuova formulazione, la </w:t>
      </w:r>
      <w:proofErr w:type="spellStart"/>
      <w:r>
        <w:rPr>
          <w:sz w:val="28"/>
        </w:rPr>
        <w:t>cognitio</w:t>
      </w:r>
      <w:proofErr w:type="spellEnd"/>
      <w:r>
        <w:rPr>
          <w:sz w:val="28"/>
        </w:rPr>
        <w:t xml:space="preserve">, non permetteva più la divisione del processo in due fasi (una davanti al magistrato e l’altra affidata a giudici privati). Ora il processo si svolgeva di fronte al principe, al senato, al </w:t>
      </w:r>
      <w:proofErr w:type="spellStart"/>
      <w:r>
        <w:rPr>
          <w:sz w:val="28"/>
        </w:rPr>
        <w:t>procurator</w:t>
      </w:r>
      <w:proofErr w:type="spellEnd"/>
      <w:r>
        <w:rPr>
          <w:sz w:val="28"/>
        </w:rPr>
        <w:t xml:space="preserve"> e si chiudeva con l’emissione di una sentenza.</w:t>
      </w:r>
    </w:p>
    <w:p w:rsidR="003933E4" w:rsidRDefault="003933E4">
      <w:pPr>
        <w:rPr>
          <w:sz w:val="28"/>
        </w:rPr>
      </w:pPr>
      <w:r>
        <w:rPr>
          <w:sz w:val="28"/>
        </w:rPr>
        <w:t xml:space="preserve">Le </w:t>
      </w:r>
      <w:proofErr w:type="spellStart"/>
      <w:r>
        <w:rPr>
          <w:sz w:val="28"/>
        </w:rPr>
        <w:t>costitutiones</w:t>
      </w:r>
      <w:proofErr w:type="spellEnd"/>
      <w:r>
        <w:rPr>
          <w:sz w:val="28"/>
        </w:rPr>
        <w:t xml:space="preserve"> imperiale sia editti sia consultazioni fra magistrati comportavano modifiche processuali e sostanziali. Augusto fece approvare una legge sui processi privati che abrogava il processo per </w:t>
      </w:r>
      <w:proofErr w:type="spellStart"/>
      <w:r>
        <w:rPr>
          <w:sz w:val="28"/>
        </w:rPr>
        <w:t>legis</w:t>
      </w:r>
      <w:proofErr w:type="spellEnd"/>
      <w:r>
        <w:rPr>
          <w:sz w:val="28"/>
        </w:rPr>
        <w:t xml:space="preserve"> </w:t>
      </w:r>
      <w:proofErr w:type="spellStart"/>
      <w:r>
        <w:rPr>
          <w:sz w:val="28"/>
        </w:rPr>
        <w:t>actiones</w:t>
      </w:r>
      <w:proofErr w:type="spellEnd"/>
      <w:r>
        <w:rPr>
          <w:sz w:val="28"/>
        </w:rPr>
        <w:t>, dando una nuova formulazione sulla durata del processo e la formazione delle liste dei giudici.</w:t>
      </w:r>
    </w:p>
    <w:p w:rsidR="003933E4" w:rsidRDefault="003933E4">
      <w:pPr>
        <w:rPr>
          <w:sz w:val="28"/>
        </w:rPr>
      </w:pPr>
      <w:r>
        <w:rPr>
          <w:sz w:val="28"/>
        </w:rPr>
        <w:t>L’intromissione del principe si manifestava in materia giurisdizionale</w:t>
      </w:r>
      <w:r w:rsidR="00DD1EC5">
        <w:rPr>
          <w:sz w:val="28"/>
        </w:rPr>
        <w:t xml:space="preserve">, il principe si faceva carica di vagliare le varie liti giurisdizionali. La novità era l’intervento di secondo grado siccome il processo privato in età repubblicana era </w:t>
      </w:r>
      <w:proofErr w:type="spellStart"/>
      <w:r w:rsidR="00DD1EC5">
        <w:rPr>
          <w:sz w:val="28"/>
        </w:rPr>
        <w:t>irretrattabile</w:t>
      </w:r>
      <w:proofErr w:type="spellEnd"/>
      <w:r w:rsidR="00DD1EC5">
        <w:rPr>
          <w:sz w:val="28"/>
        </w:rPr>
        <w:t>. Chi subiva una sentenza poteva “appellarsi” al principe che riesaminava il caso personalmente o per delega. Ad esempio Augusto delegò il pretore urbano di rivedere le sentenze ordinarie dei litiganti a Roma.</w:t>
      </w:r>
      <w:r w:rsidR="00320C60">
        <w:rPr>
          <w:sz w:val="28"/>
        </w:rPr>
        <w:t xml:space="preserve"> In età </w:t>
      </w:r>
      <w:proofErr w:type="spellStart"/>
      <w:r w:rsidR="00320C60">
        <w:rPr>
          <w:sz w:val="28"/>
        </w:rPr>
        <w:t>Antoniniana</w:t>
      </w:r>
      <w:proofErr w:type="spellEnd"/>
      <w:r w:rsidR="00320C60">
        <w:rPr>
          <w:sz w:val="28"/>
        </w:rPr>
        <w:t xml:space="preserve"> tale carica </w:t>
      </w:r>
      <w:r w:rsidR="00320C60">
        <w:rPr>
          <w:sz w:val="28"/>
        </w:rPr>
        <w:lastRenderedPageBreak/>
        <w:t xml:space="preserve">coinciderà con il </w:t>
      </w:r>
      <w:proofErr w:type="spellStart"/>
      <w:r w:rsidR="00320C60">
        <w:rPr>
          <w:sz w:val="28"/>
        </w:rPr>
        <w:t>prafectus</w:t>
      </w:r>
      <w:proofErr w:type="spellEnd"/>
      <w:r w:rsidR="00320C60">
        <w:rPr>
          <w:sz w:val="28"/>
        </w:rPr>
        <w:t xml:space="preserve"> </w:t>
      </w:r>
      <w:proofErr w:type="spellStart"/>
      <w:r w:rsidR="00320C60">
        <w:rPr>
          <w:sz w:val="28"/>
        </w:rPr>
        <w:t>urbi</w:t>
      </w:r>
      <w:proofErr w:type="spellEnd"/>
      <w:r w:rsidR="00320C60">
        <w:rPr>
          <w:sz w:val="28"/>
        </w:rPr>
        <w:t>. Anche il senato era tenuto alla conoscenza di questi eventi.</w:t>
      </w:r>
    </w:p>
    <w:p w:rsidR="00320C60" w:rsidRDefault="00320C60">
      <w:pPr>
        <w:rPr>
          <w:sz w:val="28"/>
        </w:rPr>
      </w:pPr>
      <w:r>
        <w:rPr>
          <w:sz w:val="28"/>
        </w:rPr>
        <w:t xml:space="preserve">I decreta ossia le sentenze con cui i principi chiudevano la </w:t>
      </w:r>
      <w:proofErr w:type="spellStart"/>
      <w:r>
        <w:rPr>
          <w:sz w:val="28"/>
        </w:rPr>
        <w:t>cognitio</w:t>
      </w:r>
      <w:proofErr w:type="spellEnd"/>
      <w:r>
        <w:rPr>
          <w:sz w:val="28"/>
        </w:rPr>
        <w:t xml:space="preserve"> è rimasta memoria nelle opere di giurisprudenza. I principi pertanto affidarono la gestione di giudizio giuridico a loro funzionari o rappresentanti.</w:t>
      </w:r>
    </w:p>
    <w:p w:rsidR="00320C60" w:rsidRDefault="00320C60">
      <w:pPr>
        <w:rPr>
          <w:sz w:val="28"/>
        </w:rPr>
      </w:pPr>
      <w:r>
        <w:rPr>
          <w:sz w:val="28"/>
        </w:rPr>
        <w:t xml:space="preserve">I prefetti avevano compiti di giustizia. Il </w:t>
      </w:r>
      <w:proofErr w:type="spellStart"/>
      <w:r>
        <w:rPr>
          <w:sz w:val="28"/>
        </w:rPr>
        <w:t>preafectus</w:t>
      </w:r>
      <w:proofErr w:type="spellEnd"/>
      <w:r>
        <w:rPr>
          <w:sz w:val="28"/>
        </w:rPr>
        <w:t xml:space="preserve"> </w:t>
      </w:r>
      <w:proofErr w:type="spellStart"/>
      <w:r>
        <w:rPr>
          <w:sz w:val="28"/>
        </w:rPr>
        <w:t>Aegypti</w:t>
      </w:r>
      <w:proofErr w:type="spellEnd"/>
      <w:r>
        <w:rPr>
          <w:sz w:val="28"/>
        </w:rPr>
        <w:t xml:space="preserve"> era un figura peculiare di governatore provinciale con poteri giudiziari in Egitto. I Prefetti dell’Urbe, dell’annona e dei vigili invece svilupparono competenze giudiziarie minore ma più relative ai propri compiti. Il </w:t>
      </w:r>
      <w:proofErr w:type="spellStart"/>
      <w:r>
        <w:rPr>
          <w:sz w:val="28"/>
        </w:rPr>
        <w:t>preafectus</w:t>
      </w:r>
      <w:proofErr w:type="spellEnd"/>
      <w:r>
        <w:rPr>
          <w:sz w:val="28"/>
        </w:rPr>
        <w:t xml:space="preserve"> </w:t>
      </w:r>
      <w:proofErr w:type="spellStart"/>
      <w:r>
        <w:rPr>
          <w:sz w:val="28"/>
        </w:rPr>
        <w:t>urbi</w:t>
      </w:r>
      <w:proofErr w:type="spellEnd"/>
      <w:r>
        <w:rPr>
          <w:sz w:val="28"/>
        </w:rPr>
        <w:t xml:space="preserve"> si occupò di materie di ordine pubblico.</w:t>
      </w:r>
    </w:p>
    <w:p w:rsidR="00320C60" w:rsidRDefault="00320C60">
      <w:pPr>
        <w:rPr>
          <w:sz w:val="28"/>
        </w:rPr>
      </w:pPr>
      <w:r>
        <w:rPr>
          <w:sz w:val="28"/>
        </w:rPr>
        <w:t xml:space="preserve">I </w:t>
      </w:r>
      <w:proofErr w:type="spellStart"/>
      <w:r>
        <w:rPr>
          <w:sz w:val="28"/>
        </w:rPr>
        <w:t>procratores</w:t>
      </w:r>
      <w:proofErr w:type="spellEnd"/>
      <w:r>
        <w:rPr>
          <w:sz w:val="28"/>
        </w:rPr>
        <w:t xml:space="preserve"> </w:t>
      </w:r>
      <w:proofErr w:type="spellStart"/>
      <w:r>
        <w:rPr>
          <w:sz w:val="28"/>
        </w:rPr>
        <w:t>Caesaris</w:t>
      </w:r>
      <w:proofErr w:type="spellEnd"/>
      <w:r>
        <w:rPr>
          <w:sz w:val="28"/>
        </w:rPr>
        <w:t xml:space="preserve"> assolvevano a compiti giudiziari colleganti individui e autorità, centro e periferia. I </w:t>
      </w:r>
      <w:proofErr w:type="spellStart"/>
      <w:r>
        <w:rPr>
          <w:sz w:val="28"/>
        </w:rPr>
        <w:t>procuratores</w:t>
      </w:r>
      <w:proofErr w:type="spellEnd"/>
      <w:r>
        <w:rPr>
          <w:sz w:val="28"/>
        </w:rPr>
        <w:t xml:space="preserve"> </w:t>
      </w:r>
      <w:proofErr w:type="spellStart"/>
      <w:r>
        <w:rPr>
          <w:sz w:val="28"/>
        </w:rPr>
        <w:t>Caesaris</w:t>
      </w:r>
      <w:proofErr w:type="spellEnd"/>
      <w:r>
        <w:rPr>
          <w:sz w:val="28"/>
        </w:rPr>
        <w:t xml:space="preserve"> erano i rappresentanti del </w:t>
      </w:r>
      <w:proofErr w:type="spellStart"/>
      <w:r>
        <w:rPr>
          <w:sz w:val="28"/>
        </w:rPr>
        <w:t>princeps</w:t>
      </w:r>
      <w:proofErr w:type="spellEnd"/>
      <w:r>
        <w:rPr>
          <w:sz w:val="28"/>
        </w:rPr>
        <w:t xml:space="preserve"> nelle province e si occupavano del fisco ed erano legati al principe per relazi</w:t>
      </w:r>
      <w:r w:rsidR="002668E2">
        <w:rPr>
          <w:sz w:val="28"/>
        </w:rPr>
        <w:t>o</w:t>
      </w:r>
      <w:r>
        <w:rPr>
          <w:sz w:val="28"/>
        </w:rPr>
        <w:t>ne personale</w:t>
      </w:r>
      <w:r w:rsidR="002668E2">
        <w:rPr>
          <w:sz w:val="28"/>
        </w:rPr>
        <w:t xml:space="preserve"> (gestore del patrimonio che erano delegati dal titolare). I </w:t>
      </w:r>
      <w:proofErr w:type="spellStart"/>
      <w:r w:rsidR="002668E2">
        <w:rPr>
          <w:sz w:val="28"/>
        </w:rPr>
        <w:t>procuratores</w:t>
      </w:r>
      <w:proofErr w:type="spellEnd"/>
      <w:r w:rsidR="002668E2">
        <w:rPr>
          <w:sz w:val="28"/>
        </w:rPr>
        <w:t xml:space="preserve"> svolgevano la riscossione delle imposte. I </w:t>
      </w:r>
      <w:proofErr w:type="spellStart"/>
      <w:r w:rsidR="002668E2">
        <w:rPr>
          <w:sz w:val="28"/>
        </w:rPr>
        <w:t>procuratores</w:t>
      </w:r>
      <w:proofErr w:type="spellEnd"/>
      <w:r w:rsidR="002668E2">
        <w:rPr>
          <w:sz w:val="28"/>
        </w:rPr>
        <w:t xml:space="preserve"> connotavano una natura ibrida sia privatista e pubblicista.</w:t>
      </w:r>
    </w:p>
    <w:p w:rsidR="002668E2" w:rsidRDefault="002668E2">
      <w:pPr>
        <w:rPr>
          <w:sz w:val="28"/>
        </w:rPr>
      </w:pPr>
      <w:r>
        <w:rPr>
          <w:sz w:val="28"/>
        </w:rPr>
        <w:t xml:space="preserve">I </w:t>
      </w:r>
      <w:proofErr w:type="spellStart"/>
      <w:r>
        <w:rPr>
          <w:sz w:val="28"/>
        </w:rPr>
        <w:t>procuratores</w:t>
      </w:r>
      <w:proofErr w:type="spellEnd"/>
      <w:r>
        <w:rPr>
          <w:sz w:val="28"/>
        </w:rPr>
        <w:t xml:space="preserve"> acquisirono funzioni giudiziarie inerenti alla </w:t>
      </w:r>
      <w:proofErr w:type="spellStart"/>
      <w:r>
        <w:rPr>
          <w:sz w:val="28"/>
        </w:rPr>
        <w:t>res</w:t>
      </w:r>
      <w:proofErr w:type="spellEnd"/>
      <w:r>
        <w:rPr>
          <w:sz w:val="28"/>
        </w:rPr>
        <w:t xml:space="preserve"> </w:t>
      </w:r>
      <w:proofErr w:type="spellStart"/>
      <w:r>
        <w:rPr>
          <w:sz w:val="28"/>
        </w:rPr>
        <w:t>familiaris</w:t>
      </w:r>
      <w:proofErr w:type="spellEnd"/>
      <w:r>
        <w:rPr>
          <w:sz w:val="28"/>
        </w:rPr>
        <w:t xml:space="preserve"> del principe manche oltre questa sfera.</w:t>
      </w:r>
    </w:p>
    <w:p w:rsidR="002668E2" w:rsidRDefault="002668E2">
      <w:pPr>
        <w:rPr>
          <w:sz w:val="28"/>
        </w:rPr>
      </w:pPr>
      <w:r>
        <w:rPr>
          <w:sz w:val="28"/>
        </w:rPr>
        <w:t xml:space="preserve">Ma da quando i </w:t>
      </w:r>
      <w:proofErr w:type="spellStart"/>
      <w:r>
        <w:rPr>
          <w:sz w:val="28"/>
        </w:rPr>
        <w:t>procuratores</w:t>
      </w:r>
      <w:proofErr w:type="spellEnd"/>
      <w:r>
        <w:rPr>
          <w:sz w:val="28"/>
        </w:rPr>
        <w:t xml:space="preserve"> acquisirono queste competenze?</w:t>
      </w:r>
    </w:p>
    <w:p w:rsidR="002668E2" w:rsidRDefault="002668E2">
      <w:pPr>
        <w:rPr>
          <w:sz w:val="28"/>
        </w:rPr>
      </w:pPr>
      <w:r>
        <w:rPr>
          <w:sz w:val="28"/>
        </w:rPr>
        <w:t xml:space="preserve">Secondo Tacito sotto Claudio le decisioni dei </w:t>
      </w:r>
      <w:proofErr w:type="spellStart"/>
      <w:r>
        <w:rPr>
          <w:sz w:val="28"/>
        </w:rPr>
        <w:t>procuratores</w:t>
      </w:r>
      <w:proofErr w:type="spellEnd"/>
      <w:r>
        <w:rPr>
          <w:sz w:val="28"/>
        </w:rPr>
        <w:t xml:space="preserve"> divennero efficaci quanto quelle del senato.</w:t>
      </w:r>
      <w:r w:rsidR="00485AC7">
        <w:rPr>
          <w:sz w:val="28"/>
        </w:rPr>
        <w:t xml:space="preserve"> Era un’investitura solo in materia giudiziaria generale, ossia, all’efficacia delle sentenze. </w:t>
      </w:r>
      <w:proofErr w:type="spellStart"/>
      <w:r w:rsidR="00485AC7">
        <w:rPr>
          <w:sz w:val="28"/>
        </w:rPr>
        <w:t>Pertnato</w:t>
      </w:r>
      <w:proofErr w:type="spellEnd"/>
      <w:r w:rsidR="00485AC7">
        <w:rPr>
          <w:sz w:val="28"/>
        </w:rPr>
        <w:t xml:space="preserve"> Claudio non attribuiva tutte le competenze generale ai </w:t>
      </w:r>
      <w:proofErr w:type="spellStart"/>
      <w:r w:rsidR="00485AC7">
        <w:rPr>
          <w:sz w:val="28"/>
        </w:rPr>
        <w:t>procuratores</w:t>
      </w:r>
      <w:proofErr w:type="spellEnd"/>
      <w:r w:rsidR="00485AC7">
        <w:rPr>
          <w:sz w:val="28"/>
        </w:rPr>
        <w:t>, infatti, non potevano giudicare cause capitali.</w:t>
      </w:r>
    </w:p>
    <w:p w:rsidR="00485AC7" w:rsidRDefault="00485AC7">
      <w:pPr>
        <w:rPr>
          <w:sz w:val="28"/>
        </w:rPr>
      </w:pPr>
      <w:r>
        <w:rPr>
          <w:sz w:val="28"/>
        </w:rPr>
        <w:t>Le controversie fiscali riguardanti i rapporti patrimoniali facenti capo al fisco</w:t>
      </w:r>
      <w:r w:rsidR="006B2BE7">
        <w:rPr>
          <w:sz w:val="28"/>
        </w:rPr>
        <w:t xml:space="preserve"> non furono attribuite da Claudio. Nerva aggiunse un posto di </w:t>
      </w:r>
      <w:proofErr w:type="spellStart"/>
      <w:r w:rsidR="006B2BE7">
        <w:rPr>
          <w:sz w:val="28"/>
        </w:rPr>
        <w:t>pretores</w:t>
      </w:r>
      <w:proofErr w:type="spellEnd"/>
      <w:r w:rsidR="006B2BE7">
        <w:rPr>
          <w:sz w:val="28"/>
        </w:rPr>
        <w:t xml:space="preserve"> fiscale per le controversie patrimoniali fra privati e fisco. Questo processo è mantenuto da Traiano, consentendo una maggiore efficacia della giurisdizione del pretore.</w:t>
      </w:r>
    </w:p>
    <w:p w:rsidR="006B2BE7" w:rsidRDefault="006B2BE7">
      <w:pPr>
        <w:rPr>
          <w:sz w:val="28"/>
        </w:rPr>
      </w:pPr>
      <w:r>
        <w:rPr>
          <w:sz w:val="28"/>
        </w:rPr>
        <w:t xml:space="preserve">Era più per un effetto storico che i </w:t>
      </w:r>
      <w:proofErr w:type="spellStart"/>
      <w:r>
        <w:rPr>
          <w:sz w:val="28"/>
        </w:rPr>
        <w:t>procuratores</w:t>
      </w:r>
      <w:proofErr w:type="spellEnd"/>
      <w:r>
        <w:rPr>
          <w:sz w:val="28"/>
        </w:rPr>
        <w:t xml:space="preserve"> assolvono a problemi finanziari. era la stessa posizione del </w:t>
      </w:r>
      <w:proofErr w:type="spellStart"/>
      <w:r>
        <w:rPr>
          <w:sz w:val="28"/>
        </w:rPr>
        <w:t>procuratores</w:t>
      </w:r>
      <w:proofErr w:type="spellEnd"/>
      <w:r>
        <w:rPr>
          <w:sz w:val="28"/>
        </w:rPr>
        <w:t xml:space="preserve"> a invogliare i cittadini a </w:t>
      </w:r>
      <w:proofErr w:type="spellStart"/>
      <w:r>
        <w:rPr>
          <w:sz w:val="28"/>
        </w:rPr>
        <w:t>fane</w:t>
      </w:r>
      <w:proofErr w:type="spellEnd"/>
      <w:r>
        <w:rPr>
          <w:sz w:val="28"/>
        </w:rPr>
        <w:t xml:space="preserve"> ricorso per le loro liti.</w:t>
      </w:r>
    </w:p>
    <w:p w:rsidR="006B2BE7" w:rsidRDefault="006B2BE7">
      <w:pPr>
        <w:rPr>
          <w:sz w:val="28"/>
        </w:rPr>
      </w:pPr>
      <w:r>
        <w:rPr>
          <w:sz w:val="28"/>
        </w:rPr>
        <w:t xml:space="preserve">Durante </w:t>
      </w:r>
      <w:proofErr w:type="spellStart"/>
      <w:r>
        <w:rPr>
          <w:sz w:val="28"/>
        </w:rPr>
        <w:t>Caracalla</w:t>
      </w:r>
      <w:proofErr w:type="spellEnd"/>
      <w:r>
        <w:rPr>
          <w:sz w:val="28"/>
        </w:rPr>
        <w:t xml:space="preserve"> divenne quasi regola.</w:t>
      </w:r>
    </w:p>
    <w:p w:rsidR="00DD0491" w:rsidRDefault="00DD0491">
      <w:pPr>
        <w:rPr>
          <w:color w:val="FF0000"/>
          <w:sz w:val="28"/>
        </w:rPr>
      </w:pPr>
      <w:r>
        <w:rPr>
          <w:color w:val="FF0000"/>
          <w:sz w:val="28"/>
        </w:rPr>
        <w:t xml:space="preserve">La </w:t>
      </w:r>
      <w:proofErr w:type="spellStart"/>
      <w:r>
        <w:rPr>
          <w:color w:val="FF0000"/>
          <w:sz w:val="28"/>
        </w:rPr>
        <w:t>constitutio</w:t>
      </w:r>
      <w:proofErr w:type="spellEnd"/>
      <w:r>
        <w:rPr>
          <w:color w:val="FF0000"/>
          <w:sz w:val="28"/>
        </w:rPr>
        <w:t xml:space="preserve"> </w:t>
      </w:r>
      <w:proofErr w:type="spellStart"/>
      <w:r>
        <w:rPr>
          <w:color w:val="FF0000"/>
          <w:sz w:val="28"/>
        </w:rPr>
        <w:t>antoniniana</w:t>
      </w:r>
      <w:proofErr w:type="spellEnd"/>
    </w:p>
    <w:p w:rsidR="00DD0491" w:rsidRDefault="00DD0491">
      <w:pPr>
        <w:rPr>
          <w:sz w:val="28"/>
        </w:rPr>
      </w:pPr>
      <w:r>
        <w:rPr>
          <w:sz w:val="28"/>
        </w:rPr>
        <w:lastRenderedPageBreak/>
        <w:t>All’inizio del II secolo il rapporto fra individui e autorità era regolato da strutture organizzative cittadine.</w:t>
      </w:r>
      <w:r w:rsidR="00EA6466">
        <w:rPr>
          <w:sz w:val="28"/>
        </w:rPr>
        <w:t xml:space="preserve"> La maggiore differenza era lo statuto di diritto latino e delle città straniere ma anche città che non avevano una vera e propria organizzazione.</w:t>
      </w:r>
    </w:p>
    <w:p w:rsidR="00EA6466" w:rsidRDefault="00EA6466">
      <w:pPr>
        <w:rPr>
          <w:sz w:val="28"/>
        </w:rPr>
      </w:pPr>
      <w:r>
        <w:rPr>
          <w:sz w:val="28"/>
        </w:rPr>
        <w:t>La pluralità delle forme organizzative è data dal diritto vigente, dagli organi giurisdizionali e dall’applicazione.</w:t>
      </w:r>
    </w:p>
    <w:p w:rsidR="00EA6466" w:rsidRDefault="00EA6466">
      <w:pPr>
        <w:rPr>
          <w:sz w:val="28"/>
        </w:rPr>
      </w:pPr>
      <w:r>
        <w:rPr>
          <w:sz w:val="28"/>
        </w:rPr>
        <w:t>Nelle città di diritto romano diffuse in Italia, in provincia il diritto applicato nelle controversie era romano</w:t>
      </w:r>
      <w:r w:rsidR="00C31B14">
        <w:rPr>
          <w:sz w:val="28"/>
        </w:rPr>
        <w:t xml:space="preserve">. Se il processo non era risolto si richiedeva il trasferimento al pretore di Roma o alle varie figure vicine al </w:t>
      </w:r>
      <w:proofErr w:type="spellStart"/>
      <w:r w:rsidR="00C31B14">
        <w:rPr>
          <w:sz w:val="28"/>
        </w:rPr>
        <w:t>princeps</w:t>
      </w:r>
      <w:proofErr w:type="spellEnd"/>
      <w:r w:rsidR="00C31B14">
        <w:rPr>
          <w:sz w:val="28"/>
        </w:rPr>
        <w:t>.</w:t>
      </w:r>
    </w:p>
    <w:p w:rsidR="00C31B14" w:rsidRDefault="00C31B14">
      <w:pPr>
        <w:rPr>
          <w:sz w:val="28"/>
        </w:rPr>
      </w:pPr>
      <w:r>
        <w:rPr>
          <w:sz w:val="28"/>
        </w:rPr>
        <w:t>Nelle città di diritto latino la situazione era molto simile a quelle di diritto romano anche se i vari municipi avevano uno statuto proprio.</w:t>
      </w:r>
    </w:p>
    <w:p w:rsidR="00C31B14" w:rsidRDefault="00C31B14">
      <w:pPr>
        <w:rPr>
          <w:sz w:val="28"/>
        </w:rPr>
      </w:pPr>
      <w:r>
        <w:rPr>
          <w:sz w:val="28"/>
        </w:rPr>
        <w:t xml:space="preserve">Le </w:t>
      </w:r>
      <w:proofErr w:type="spellStart"/>
      <w:r>
        <w:rPr>
          <w:sz w:val="28"/>
        </w:rPr>
        <w:t>civitates</w:t>
      </w:r>
      <w:proofErr w:type="spellEnd"/>
      <w:r>
        <w:rPr>
          <w:sz w:val="28"/>
        </w:rPr>
        <w:t xml:space="preserve"> straniere avevano un ordinamento proprio anche se non esclude interpolazioni con la giurisdizione romana (esisteva la possibilità di rivolgersi a un giudice locale e uno romano). Si venne affermando una giurisdizione d’appello dell’imperatore rispetto a decisioni dei tribunali di città straniere. Il diritto romano non trovava applicazioni in tali realtà.</w:t>
      </w:r>
    </w:p>
    <w:p w:rsidR="00CC5370" w:rsidRDefault="00CC5370">
      <w:pPr>
        <w:rPr>
          <w:sz w:val="28"/>
        </w:rPr>
      </w:pPr>
      <w:r>
        <w:rPr>
          <w:sz w:val="28"/>
        </w:rPr>
        <w:t xml:space="preserve">I territori privi di strutture cittadine, qui l’istanza </w:t>
      </w:r>
      <w:proofErr w:type="spellStart"/>
      <w:r>
        <w:rPr>
          <w:sz w:val="28"/>
        </w:rPr>
        <w:t>giusdicente</w:t>
      </w:r>
      <w:proofErr w:type="spellEnd"/>
      <w:r>
        <w:rPr>
          <w:sz w:val="28"/>
        </w:rPr>
        <w:t xml:space="preserve"> era il governatore romano, applicatore del diritto “nazionale”.</w:t>
      </w:r>
    </w:p>
    <w:p w:rsidR="00CC5370" w:rsidRDefault="00CC5370">
      <w:pPr>
        <w:rPr>
          <w:sz w:val="28"/>
        </w:rPr>
      </w:pPr>
      <w:r>
        <w:rPr>
          <w:sz w:val="28"/>
        </w:rPr>
        <w:t xml:space="preserve">La </w:t>
      </w:r>
      <w:proofErr w:type="spellStart"/>
      <w:r>
        <w:rPr>
          <w:sz w:val="28"/>
        </w:rPr>
        <w:t>constitutio</w:t>
      </w:r>
      <w:proofErr w:type="spellEnd"/>
      <w:r>
        <w:rPr>
          <w:sz w:val="28"/>
        </w:rPr>
        <w:t xml:space="preserve"> </w:t>
      </w:r>
      <w:proofErr w:type="spellStart"/>
      <w:r>
        <w:rPr>
          <w:sz w:val="28"/>
        </w:rPr>
        <w:t>Antoniniana</w:t>
      </w:r>
      <w:proofErr w:type="spellEnd"/>
      <w:r>
        <w:rPr>
          <w:sz w:val="28"/>
        </w:rPr>
        <w:t xml:space="preserve"> del 212 appianò definitivamente queste incongruenze.</w:t>
      </w:r>
    </w:p>
    <w:p w:rsidR="00CC5370" w:rsidRDefault="00CC5370">
      <w:pPr>
        <w:rPr>
          <w:sz w:val="28"/>
        </w:rPr>
      </w:pPr>
      <w:r>
        <w:rPr>
          <w:noProof/>
        </w:rPr>
        <w:drawing>
          <wp:inline distT="0" distB="0" distL="0" distR="0">
            <wp:extent cx="6120130" cy="3404947"/>
            <wp:effectExtent l="19050" t="0" r="0" b="0"/>
            <wp:docPr id="1" name="Immagine 1" descr="http://www.capitolivm.it/wp-content/uploads/2017/02/constitutioantoniniana-800x4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apitolivm.it/wp-content/uploads/2017/02/constitutioantoniniana-800x445.jpg"/>
                    <pic:cNvPicPr>
                      <a:picLocks noChangeAspect="1" noChangeArrowheads="1"/>
                    </pic:cNvPicPr>
                  </pic:nvPicPr>
                  <pic:blipFill>
                    <a:blip r:embed="rId4"/>
                    <a:srcRect/>
                    <a:stretch>
                      <a:fillRect/>
                    </a:stretch>
                  </pic:blipFill>
                  <pic:spPr bwMode="auto">
                    <a:xfrm>
                      <a:off x="0" y="0"/>
                      <a:ext cx="6120130" cy="3404947"/>
                    </a:xfrm>
                    <a:prstGeom prst="rect">
                      <a:avLst/>
                    </a:prstGeom>
                    <a:noFill/>
                    <a:ln w="9525">
                      <a:noFill/>
                      <a:miter lim="800000"/>
                      <a:headEnd/>
                      <a:tailEnd/>
                    </a:ln>
                  </pic:spPr>
                </pic:pic>
              </a:graphicData>
            </a:graphic>
          </wp:inline>
        </w:drawing>
      </w:r>
    </w:p>
    <w:p w:rsidR="00CC5370" w:rsidRPr="00DD0491" w:rsidRDefault="00CC5370">
      <w:pPr>
        <w:rPr>
          <w:sz w:val="28"/>
        </w:rPr>
      </w:pPr>
      <w:r>
        <w:rPr>
          <w:sz w:val="28"/>
        </w:rPr>
        <w:lastRenderedPageBreak/>
        <w:t>L’impatto sulla pluralità degli ordinamenti fu decisivo. Tutte le città dell’impero diventarono città di diritto romano. Il diritto romano fu considerato l’unico vigente. Non fu abbandonato integralmente il diritto locale ma assimilato o tollerato da quello romano. Diocleziano uniformerà definitivamente il diritto romano.</w:t>
      </w:r>
    </w:p>
    <w:sectPr w:rsidR="00CC5370" w:rsidRPr="00DD0491">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283"/>
  <w:characterSpacingControl w:val="doNotCompress"/>
  <w:compat>
    <w:useFELayout/>
  </w:compat>
  <w:rsids>
    <w:rsidRoot w:val="00082945"/>
    <w:rsid w:val="00082945"/>
    <w:rsid w:val="002668E2"/>
    <w:rsid w:val="00320C60"/>
    <w:rsid w:val="003933E4"/>
    <w:rsid w:val="00485AC7"/>
    <w:rsid w:val="006B2BE7"/>
    <w:rsid w:val="00C31B14"/>
    <w:rsid w:val="00CC5370"/>
    <w:rsid w:val="00DD0491"/>
    <w:rsid w:val="00DD1EC5"/>
    <w:rsid w:val="00E226A9"/>
    <w:rsid w:val="00EA646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CC5370"/>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C537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220</TotalTime>
  <Pages>4</Pages>
  <Words>934</Words>
  <Characters>5324</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6246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2017-03-31T10:29:00Z</dcterms:created>
  <dcterms:modified xsi:type="dcterms:W3CDTF">2017-03-31T14:09:00Z</dcterms:modified>
</cp:coreProperties>
</file>