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FD2" w:rsidRDefault="00B307D6">
      <w:pPr>
        <w:rPr>
          <w:color w:val="FF0000"/>
          <w:sz w:val="28"/>
        </w:rPr>
      </w:pPr>
      <w:r>
        <w:rPr>
          <w:color w:val="FF0000"/>
          <w:sz w:val="28"/>
        </w:rPr>
        <w:t>Federico D’Ippolito</w:t>
      </w:r>
    </w:p>
    <w:p w:rsidR="00B307D6" w:rsidRDefault="00B307D6">
      <w:pPr>
        <w:rPr>
          <w:color w:val="FF0000"/>
          <w:sz w:val="28"/>
        </w:rPr>
      </w:pPr>
      <w:r>
        <w:rPr>
          <w:color w:val="FF0000"/>
          <w:sz w:val="28"/>
        </w:rPr>
        <w:t>Le XII Tavole: il testo e la politica</w:t>
      </w:r>
    </w:p>
    <w:p w:rsidR="00B307D6" w:rsidRDefault="00E41229">
      <w:pPr>
        <w:rPr>
          <w:sz w:val="28"/>
        </w:rPr>
      </w:pPr>
      <w:r>
        <w:rPr>
          <w:sz w:val="28"/>
        </w:rPr>
        <w:t xml:space="preserve">Agli inizi del V secolo d.C. Valerio </w:t>
      </w:r>
      <w:proofErr w:type="spellStart"/>
      <w:r>
        <w:rPr>
          <w:sz w:val="28"/>
        </w:rPr>
        <w:t>Dalmazio</w:t>
      </w:r>
      <w:proofErr w:type="spellEnd"/>
      <w:r>
        <w:rPr>
          <w:sz w:val="28"/>
        </w:rPr>
        <w:t xml:space="preserve">, </w:t>
      </w:r>
      <w:proofErr w:type="spellStart"/>
      <w:r>
        <w:rPr>
          <w:sz w:val="28"/>
        </w:rPr>
        <w:t>praeses</w:t>
      </w:r>
      <w:proofErr w:type="spellEnd"/>
      <w:r>
        <w:rPr>
          <w:sz w:val="28"/>
        </w:rPr>
        <w:t xml:space="preserve"> della provincia </w:t>
      </w:r>
      <w:proofErr w:type="spellStart"/>
      <w:r>
        <w:rPr>
          <w:sz w:val="28"/>
        </w:rPr>
        <w:t>Lugdunensis</w:t>
      </w:r>
      <w:proofErr w:type="spellEnd"/>
      <w:r>
        <w:rPr>
          <w:sz w:val="28"/>
        </w:rPr>
        <w:t xml:space="preserve"> </w:t>
      </w:r>
      <w:proofErr w:type="spellStart"/>
      <w:r>
        <w:rPr>
          <w:sz w:val="28"/>
        </w:rPr>
        <w:t>tertia</w:t>
      </w:r>
      <w:proofErr w:type="spellEnd"/>
      <w:r>
        <w:rPr>
          <w:sz w:val="28"/>
        </w:rPr>
        <w:t xml:space="preserve"> ottenne un epigrafe di esimio encomio per il lavoro </w:t>
      </w:r>
      <w:r w:rsidR="00E44F10">
        <w:rPr>
          <w:sz w:val="28"/>
        </w:rPr>
        <w:t xml:space="preserve">di </w:t>
      </w:r>
      <w:r>
        <w:rPr>
          <w:sz w:val="28"/>
        </w:rPr>
        <w:t xml:space="preserve">esperto amministratore di giustizia ed esperto giurista. Nell’epigrafe era riportato tutto il corso di studi compiuto e la sua operosità, inoltre, si aggiungeva la profonda conoscenza delle norme “bis sex </w:t>
      </w:r>
      <w:proofErr w:type="spellStart"/>
      <w:r>
        <w:rPr>
          <w:sz w:val="28"/>
        </w:rPr>
        <w:t>scripta</w:t>
      </w:r>
      <w:proofErr w:type="spellEnd"/>
      <w:r>
        <w:rPr>
          <w:sz w:val="28"/>
        </w:rPr>
        <w:t>”.</w:t>
      </w:r>
    </w:p>
    <w:p w:rsidR="00E41229" w:rsidRDefault="00E41229">
      <w:r>
        <w:rPr>
          <w:noProof/>
        </w:rPr>
        <w:drawing>
          <wp:inline distT="0" distB="0" distL="0" distR="0">
            <wp:extent cx="2910094" cy="1995777"/>
            <wp:effectExtent l="19050" t="0" r="4556" b="0"/>
            <wp:docPr id="1" name="Immagine 1" descr="https://upload.wikimedia.org/wikipedia/commons/c/c7/Lugdunensis_SPQ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c/c7/Lugdunensis_SPQR.png"/>
                    <pic:cNvPicPr>
                      <a:picLocks noChangeAspect="1" noChangeArrowheads="1"/>
                    </pic:cNvPicPr>
                  </pic:nvPicPr>
                  <pic:blipFill>
                    <a:blip r:embed="rId5"/>
                    <a:srcRect/>
                    <a:stretch>
                      <a:fillRect/>
                    </a:stretch>
                  </pic:blipFill>
                  <pic:spPr bwMode="auto">
                    <a:xfrm>
                      <a:off x="0" y="0"/>
                      <a:ext cx="2910462" cy="1996029"/>
                    </a:xfrm>
                    <a:prstGeom prst="rect">
                      <a:avLst/>
                    </a:prstGeom>
                    <a:noFill/>
                    <a:ln w="9525">
                      <a:noFill/>
                      <a:miter lim="800000"/>
                      <a:headEnd/>
                      <a:tailEnd/>
                    </a:ln>
                  </pic:spPr>
                </pic:pic>
              </a:graphicData>
            </a:graphic>
          </wp:inline>
        </w:drawing>
      </w:r>
      <w:r w:rsidRPr="00E41229">
        <w:t xml:space="preserve"> </w:t>
      </w:r>
      <w:r>
        <w:rPr>
          <w:noProof/>
        </w:rPr>
        <w:drawing>
          <wp:inline distT="0" distB="0" distL="0" distR="0">
            <wp:extent cx="2854325" cy="1288415"/>
            <wp:effectExtent l="19050" t="0" r="3175" b="0"/>
            <wp:docPr id="4" name="Immagine 4" descr="http://www.museoarcheologicobergamo.it/immagini/fotoPagine/crisp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useoarcheologicobergamo.it/immagini/fotoPagine/crispus.jpg"/>
                    <pic:cNvPicPr>
                      <a:picLocks noChangeAspect="1" noChangeArrowheads="1"/>
                    </pic:cNvPicPr>
                  </pic:nvPicPr>
                  <pic:blipFill>
                    <a:blip r:embed="rId6"/>
                    <a:srcRect/>
                    <a:stretch>
                      <a:fillRect/>
                    </a:stretch>
                  </pic:blipFill>
                  <pic:spPr bwMode="auto">
                    <a:xfrm>
                      <a:off x="0" y="0"/>
                      <a:ext cx="2854325" cy="1288415"/>
                    </a:xfrm>
                    <a:prstGeom prst="rect">
                      <a:avLst/>
                    </a:prstGeom>
                    <a:noFill/>
                    <a:ln w="9525">
                      <a:noFill/>
                      <a:miter lim="800000"/>
                      <a:headEnd/>
                      <a:tailEnd/>
                    </a:ln>
                  </pic:spPr>
                </pic:pic>
              </a:graphicData>
            </a:graphic>
          </wp:inline>
        </w:drawing>
      </w:r>
    </w:p>
    <w:p w:rsidR="00E41229" w:rsidRDefault="00E41229">
      <w:pPr>
        <w:rPr>
          <w:sz w:val="28"/>
        </w:rPr>
      </w:pPr>
      <w:proofErr w:type="spellStart"/>
      <w:r>
        <w:rPr>
          <w:sz w:val="28"/>
        </w:rPr>
        <w:t>Mommsen</w:t>
      </w:r>
      <w:proofErr w:type="spellEnd"/>
      <w:r>
        <w:rPr>
          <w:sz w:val="28"/>
        </w:rPr>
        <w:t xml:space="preserve"> individuò che era un chiaro riferimento alle XII Tavole.</w:t>
      </w:r>
    </w:p>
    <w:p w:rsidR="00E41229" w:rsidRDefault="00E41229">
      <w:pPr>
        <w:rPr>
          <w:noProof/>
        </w:rPr>
      </w:pPr>
      <w:r>
        <w:rPr>
          <w:noProof/>
        </w:rPr>
        <w:drawing>
          <wp:inline distT="0" distB="0" distL="0" distR="0">
            <wp:extent cx="3068563" cy="2043486"/>
            <wp:effectExtent l="19050" t="0" r="0" b="0"/>
            <wp:docPr id="7" name="Immagine 7" descr="https://image.jimcdn.com/app/cms/image/transf/dimension=767x10000:format=jpg/path/seed4c6e60e98c87c/image/i05400ad75c1ccbfc/version/1458517657/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jimcdn.com/app/cms/image/transf/dimension=767x10000:format=jpg/path/seed4c6e60e98c87c/image/i05400ad75c1ccbfc/version/1458517657/image.jpg"/>
                    <pic:cNvPicPr>
                      <a:picLocks noChangeAspect="1" noChangeArrowheads="1"/>
                    </pic:cNvPicPr>
                  </pic:nvPicPr>
                  <pic:blipFill>
                    <a:blip r:embed="rId7"/>
                    <a:srcRect/>
                    <a:stretch>
                      <a:fillRect/>
                    </a:stretch>
                  </pic:blipFill>
                  <pic:spPr bwMode="auto">
                    <a:xfrm>
                      <a:off x="0" y="0"/>
                      <a:ext cx="3068951" cy="2043744"/>
                    </a:xfrm>
                    <a:prstGeom prst="rect">
                      <a:avLst/>
                    </a:prstGeom>
                    <a:noFill/>
                    <a:ln w="9525">
                      <a:noFill/>
                      <a:miter lim="800000"/>
                      <a:headEnd/>
                      <a:tailEnd/>
                    </a:ln>
                  </pic:spPr>
                </pic:pic>
              </a:graphicData>
            </a:graphic>
          </wp:inline>
        </w:drawing>
      </w:r>
      <w:r w:rsidRPr="00E41229">
        <w:t xml:space="preserve"> </w:t>
      </w:r>
      <w:r>
        <w:rPr>
          <w:noProof/>
        </w:rPr>
        <w:drawing>
          <wp:inline distT="0" distB="0" distL="0" distR="0">
            <wp:extent cx="1376601" cy="2038902"/>
            <wp:effectExtent l="19050" t="0" r="0" b="0"/>
            <wp:docPr id="10" name="Immagine 10" descr="http://www.unpodituttopertutti.it/index_file/image4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unpodituttopertutti.it/index_file/image4161.jpg"/>
                    <pic:cNvPicPr>
                      <a:picLocks noChangeAspect="1" noChangeArrowheads="1"/>
                    </pic:cNvPicPr>
                  </pic:nvPicPr>
                  <pic:blipFill>
                    <a:blip r:embed="rId8"/>
                    <a:srcRect/>
                    <a:stretch>
                      <a:fillRect/>
                    </a:stretch>
                  </pic:blipFill>
                  <pic:spPr bwMode="auto">
                    <a:xfrm>
                      <a:off x="0" y="0"/>
                      <a:ext cx="1378746" cy="2042080"/>
                    </a:xfrm>
                    <a:prstGeom prst="rect">
                      <a:avLst/>
                    </a:prstGeom>
                    <a:noFill/>
                    <a:ln w="9525">
                      <a:noFill/>
                      <a:miter lim="800000"/>
                      <a:headEnd/>
                      <a:tailEnd/>
                    </a:ln>
                  </pic:spPr>
                </pic:pic>
              </a:graphicData>
            </a:graphic>
          </wp:inline>
        </w:drawing>
      </w:r>
      <w:r w:rsidRPr="00E41229">
        <w:t xml:space="preserve"> </w:t>
      </w:r>
    </w:p>
    <w:p w:rsidR="00E41229" w:rsidRDefault="007D61EE">
      <w:pPr>
        <w:rPr>
          <w:noProof/>
          <w:sz w:val="28"/>
        </w:rPr>
      </w:pPr>
      <w:r>
        <w:rPr>
          <w:noProof/>
          <w:sz w:val="28"/>
        </w:rPr>
        <w:t>Nel V secolo d.C. si conservava ancora un ottimo ricordo della primigenia legge romana:</w:t>
      </w:r>
    </w:p>
    <w:p w:rsidR="007D61EE" w:rsidRDefault="007D61EE" w:rsidP="007D61EE">
      <w:pPr>
        <w:pStyle w:val="Paragrafoelenco"/>
        <w:numPr>
          <w:ilvl w:val="0"/>
          <w:numId w:val="1"/>
        </w:numPr>
        <w:rPr>
          <w:sz w:val="28"/>
        </w:rPr>
      </w:pPr>
      <w:proofErr w:type="spellStart"/>
      <w:r>
        <w:rPr>
          <w:sz w:val="28"/>
        </w:rPr>
        <w:t>Macrobio</w:t>
      </w:r>
      <w:proofErr w:type="spellEnd"/>
      <w:r>
        <w:rPr>
          <w:sz w:val="28"/>
        </w:rPr>
        <w:t xml:space="preserve"> citava molte sezioni delle XII Tavole</w:t>
      </w:r>
    </w:p>
    <w:p w:rsidR="007D61EE" w:rsidRDefault="007D61EE" w:rsidP="007D61EE">
      <w:pPr>
        <w:pStyle w:val="Paragrafoelenco"/>
        <w:numPr>
          <w:ilvl w:val="0"/>
          <w:numId w:val="1"/>
        </w:numPr>
        <w:rPr>
          <w:sz w:val="28"/>
        </w:rPr>
      </w:pPr>
      <w:r>
        <w:rPr>
          <w:sz w:val="28"/>
        </w:rPr>
        <w:t>Nel III secolo d.C. il vescovo Cipriano affermò di averle lette</w:t>
      </w:r>
    </w:p>
    <w:p w:rsidR="007D61EE" w:rsidRDefault="007D61EE" w:rsidP="007D61EE">
      <w:pPr>
        <w:pStyle w:val="Paragrafoelenco"/>
        <w:numPr>
          <w:ilvl w:val="0"/>
          <w:numId w:val="1"/>
        </w:numPr>
        <w:rPr>
          <w:sz w:val="28"/>
        </w:rPr>
      </w:pPr>
      <w:proofErr w:type="spellStart"/>
      <w:r>
        <w:rPr>
          <w:sz w:val="28"/>
        </w:rPr>
        <w:t>Salviano</w:t>
      </w:r>
      <w:proofErr w:type="spellEnd"/>
      <w:r>
        <w:rPr>
          <w:sz w:val="28"/>
        </w:rPr>
        <w:t xml:space="preserve"> e </w:t>
      </w:r>
      <w:proofErr w:type="spellStart"/>
      <w:r>
        <w:rPr>
          <w:sz w:val="28"/>
        </w:rPr>
        <w:t>Sidonio</w:t>
      </w:r>
      <w:proofErr w:type="spellEnd"/>
      <w:r>
        <w:rPr>
          <w:sz w:val="28"/>
        </w:rPr>
        <w:t xml:space="preserve"> Apollinare ne avevano buona memoria</w:t>
      </w:r>
    </w:p>
    <w:p w:rsidR="007D61EE" w:rsidRDefault="007D61EE" w:rsidP="007D61EE">
      <w:pPr>
        <w:rPr>
          <w:sz w:val="28"/>
        </w:rPr>
      </w:pPr>
      <w:r>
        <w:rPr>
          <w:noProof/>
        </w:rPr>
        <w:lastRenderedPageBreak/>
        <w:drawing>
          <wp:inline distT="0" distB="0" distL="0" distR="0">
            <wp:extent cx="1379245" cy="1531217"/>
            <wp:effectExtent l="19050" t="0" r="0" b="0"/>
            <wp:docPr id="16" name="Immagine 16" descr="https://upload.wikimedia.org/wikipedia/commons/0/0c/Macrob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0/0c/Macrobius.jpg"/>
                    <pic:cNvPicPr>
                      <a:picLocks noChangeAspect="1" noChangeArrowheads="1"/>
                    </pic:cNvPicPr>
                  </pic:nvPicPr>
                  <pic:blipFill>
                    <a:blip r:embed="rId9"/>
                    <a:srcRect/>
                    <a:stretch>
                      <a:fillRect/>
                    </a:stretch>
                  </pic:blipFill>
                  <pic:spPr bwMode="auto">
                    <a:xfrm>
                      <a:off x="0" y="0"/>
                      <a:ext cx="1380830" cy="1532976"/>
                    </a:xfrm>
                    <a:prstGeom prst="rect">
                      <a:avLst/>
                    </a:prstGeom>
                    <a:noFill/>
                    <a:ln w="9525">
                      <a:noFill/>
                      <a:miter lim="800000"/>
                      <a:headEnd/>
                      <a:tailEnd/>
                    </a:ln>
                  </pic:spPr>
                </pic:pic>
              </a:graphicData>
            </a:graphic>
          </wp:inline>
        </w:drawing>
      </w:r>
      <w:r>
        <w:rPr>
          <w:noProof/>
        </w:rPr>
        <w:drawing>
          <wp:inline distT="0" distB="0" distL="0" distR="0">
            <wp:extent cx="1165153" cy="1534602"/>
            <wp:effectExtent l="19050" t="0" r="0" b="0"/>
            <wp:docPr id="19" name="Immagine 19" descr="Icona rappresentante Cipri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cona rappresentante Cipriano."/>
                    <pic:cNvPicPr>
                      <a:picLocks noChangeAspect="1" noChangeArrowheads="1"/>
                    </pic:cNvPicPr>
                  </pic:nvPicPr>
                  <pic:blipFill>
                    <a:blip r:embed="rId10"/>
                    <a:srcRect/>
                    <a:stretch>
                      <a:fillRect/>
                    </a:stretch>
                  </pic:blipFill>
                  <pic:spPr bwMode="auto">
                    <a:xfrm>
                      <a:off x="0" y="0"/>
                      <a:ext cx="1165168" cy="1534622"/>
                    </a:xfrm>
                    <a:prstGeom prst="rect">
                      <a:avLst/>
                    </a:prstGeom>
                    <a:noFill/>
                    <a:ln w="9525">
                      <a:noFill/>
                      <a:miter lim="800000"/>
                      <a:headEnd/>
                      <a:tailEnd/>
                    </a:ln>
                  </pic:spPr>
                </pic:pic>
              </a:graphicData>
            </a:graphic>
          </wp:inline>
        </w:drawing>
      </w:r>
      <w:r>
        <w:rPr>
          <w:noProof/>
        </w:rPr>
        <w:drawing>
          <wp:inline distT="0" distB="0" distL="0" distR="0">
            <wp:extent cx="1645941" cy="1531729"/>
            <wp:effectExtent l="19050" t="0" r="0" b="0"/>
            <wp:docPr id="22" name="Immagine 22" descr="Vetrata nella cattedrale di Clermont-Fer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Vetrata nella cattedrale di Clermont-Ferrand"/>
                    <pic:cNvPicPr>
                      <a:picLocks noChangeAspect="1" noChangeArrowheads="1"/>
                    </pic:cNvPicPr>
                  </pic:nvPicPr>
                  <pic:blipFill>
                    <a:blip r:embed="rId11"/>
                    <a:srcRect/>
                    <a:stretch>
                      <a:fillRect/>
                    </a:stretch>
                  </pic:blipFill>
                  <pic:spPr bwMode="auto">
                    <a:xfrm>
                      <a:off x="0" y="0"/>
                      <a:ext cx="1647632" cy="1533303"/>
                    </a:xfrm>
                    <a:prstGeom prst="rect">
                      <a:avLst/>
                    </a:prstGeom>
                    <a:noFill/>
                    <a:ln w="9525">
                      <a:noFill/>
                      <a:miter lim="800000"/>
                      <a:headEnd/>
                      <a:tailEnd/>
                    </a:ln>
                  </pic:spPr>
                </pic:pic>
              </a:graphicData>
            </a:graphic>
          </wp:inline>
        </w:drawing>
      </w:r>
    </w:p>
    <w:p w:rsidR="007D61EE" w:rsidRDefault="007D61EE" w:rsidP="007D61EE">
      <w:pPr>
        <w:rPr>
          <w:sz w:val="28"/>
        </w:rPr>
      </w:pPr>
      <w:r>
        <w:rPr>
          <w:sz w:val="28"/>
        </w:rPr>
        <w:t xml:space="preserve">Il Tardo antico mostrava ancora rispetto per la prima legislazione romana. Sesto Pomponio, Gaio e </w:t>
      </w:r>
      <w:proofErr w:type="spellStart"/>
      <w:r>
        <w:rPr>
          <w:sz w:val="28"/>
        </w:rPr>
        <w:t>Aulo</w:t>
      </w:r>
      <w:proofErr w:type="spellEnd"/>
      <w:r>
        <w:rPr>
          <w:sz w:val="28"/>
        </w:rPr>
        <w:t xml:space="preserve"> Gellio consideravano le XII Tavole come l’archetipo della giurisprudenza romana. Uno dei massimi esponenti della 2° sofistica, </w:t>
      </w:r>
      <w:proofErr w:type="spellStart"/>
      <w:r>
        <w:rPr>
          <w:sz w:val="28"/>
        </w:rPr>
        <w:t>Favorino</w:t>
      </w:r>
      <w:proofErr w:type="spellEnd"/>
      <w:r>
        <w:rPr>
          <w:sz w:val="28"/>
        </w:rPr>
        <w:t xml:space="preserve">, viene ritratto da </w:t>
      </w:r>
      <w:proofErr w:type="spellStart"/>
      <w:r>
        <w:rPr>
          <w:sz w:val="28"/>
        </w:rPr>
        <w:t>Aulo</w:t>
      </w:r>
      <w:proofErr w:type="spellEnd"/>
      <w:r>
        <w:rPr>
          <w:sz w:val="28"/>
        </w:rPr>
        <w:t xml:space="preserve"> Gellio nelle Notti </w:t>
      </w:r>
      <w:proofErr w:type="spellStart"/>
      <w:r>
        <w:rPr>
          <w:sz w:val="28"/>
        </w:rPr>
        <w:t>Attiche</w:t>
      </w:r>
      <w:proofErr w:type="spellEnd"/>
      <w:r w:rsidR="00A21957">
        <w:rPr>
          <w:sz w:val="28"/>
        </w:rPr>
        <w:t>, in quanto ric</w:t>
      </w:r>
      <w:r w:rsidR="00E44F10">
        <w:rPr>
          <w:sz w:val="28"/>
        </w:rPr>
        <w:t>onoscente  le XII Tavole come il modello</w:t>
      </w:r>
      <w:r w:rsidR="00A21957">
        <w:rPr>
          <w:sz w:val="28"/>
        </w:rPr>
        <w:t xml:space="preserve"> del diritto antico in una disputa con il giurista Sesto </w:t>
      </w:r>
      <w:proofErr w:type="spellStart"/>
      <w:r w:rsidR="00A21957">
        <w:rPr>
          <w:sz w:val="28"/>
        </w:rPr>
        <w:t>Cecilio</w:t>
      </w:r>
      <w:proofErr w:type="spellEnd"/>
      <w:r w:rsidR="00A21957">
        <w:rPr>
          <w:sz w:val="28"/>
        </w:rPr>
        <w:t xml:space="preserve"> Africano.</w:t>
      </w:r>
    </w:p>
    <w:p w:rsidR="007D61EE" w:rsidRDefault="007D61EE" w:rsidP="007D61EE">
      <w:r>
        <w:rPr>
          <w:noProof/>
        </w:rPr>
        <w:drawing>
          <wp:inline distT="0" distB="0" distL="0" distR="0">
            <wp:extent cx="908496" cy="1924215"/>
            <wp:effectExtent l="19050" t="0" r="5904" b="0"/>
            <wp:docPr id="25" name="Immagine 25" descr="File:Estatua de Gayo-Tribunal Supremo (Madr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le:Estatua de Gayo-Tribunal Supremo (Madrid).jpg"/>
                    <pic:cNvPicPr>
                      <a:picLocks noChangeAspect="1" noChangeArrowheads="1"/>
                    </pic:cNvPicPr>
                  </pic:nvPicPr>
                  <pic:blipFill>
                    <a:blip r:embed="rId12"/>
                    <a:srcRect/>
                    <a:stretch>
                      <a:fillRect/>
                    </a:stretch>
                  </pic:blipFill>
                  <pic:spPr bwMode="auto">
                    <a:xfrm>
                      <a:off x="0" y="0"/>
                      <a:ext cx="908535" cy="1924299"/>
                    </a:xfrm>
                    <a:prstGeom prst="rect">
                      <a:avLst/>
                    </a:prstGeom>
                    <a:noFill/>
                    <a:ln w="9525">
                      <a:noFill/>
                      <a:miter lim="800000"/>
                      <a:headEnd/>
                      <a:tailEnd/>
                    </a:ln>
                  </pic:spPr>
                </pic:pic>
              </a:graphicData>
            </a:graphic>
          </wp:inline>
        </w:drawing>
      </w:r>
      <w:r w:rsidRPr="007D61EE">
        <w:t xml:space="preserve"> </w:t>
      </w:r>
      <w:r>
        <w:rPr>
          <w:noProof/>
        </w:rPr>
        <w:drawing>
          <wp:inline distT="0" distB="0" distL="0" distR="0">
            <wp:extent cx="1539040" cy="1923664"/>
            <wp:effectExtent l="19050" t="0" r="4010" b="0"/>
            <wp:docPr id="28" name="Immagine 28" descr="https://upload.wikimedia.org/wikipedia/commons/4/41/Auli_Gellii_Noctium_Atticarum_1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4/41/Auli_Gellii_Noctium_Atticarum_1706.jpg"/>
                    <pic:cNvPicPr>
                      <a:picLocks noChangeAspect="1" noChangeArrowheads="1"/>
                    </pic:cNvPicPr>
                  </pic:nvPicPr>
                  <pic:blipFill>
                    <a:blip r:embed="rId13" cstate="print"/>
                    <a:srcRect/>
                    <a:stretch>
                      <a:fillRect/>
                    </a:stretch>
                  </pic:blipFill>
                  <pic:spPr bwMode="auto">
                    <a:xfrm>
                      <a:off x="0" y="0"/>
                      <a:ext cx="1539273" cy="1923955"/>
                    </a:xfrm>
                    <a:prstGeom prst="rect">
                      <a:avLst/>
                    </a:prstGeom>
                    <a:noFill/>
                    <a:ln w="9525">
                      <a:noFill/>
                      <a:miter lim="800000"/>
                      <a:headEnd/>
                      <a:tailEnd/>
                    </a:ln>
                  </pic:spPr>
                </pic:pic>
              </a:graphicData>
            </a:graphic>
          </wp:inline>
        </w:drawing>
      </w:r>
      <w:r w:rsidR="00A21957" w:rsidRPr="00A21957">
        <w:t xml:space="preserve"> </w:t>
      </w:r>
      <w:r w:rsidR="00A21957">
        <w:rPr>
          <w:noProof/>
        </w:rPr>
        <w:drawing>
          <wp:inline distT="0" distB="0" distL="0" distR="0">
            <wp:extent cx="1592360" cy="1923741"/>
            <wp:effectExtent l="19050" t="0" r="7840" b="0"/>
            <wp:docPr id="31" name="Immagine 31" descr="https://upload.wikimedia.org/wikipedia/commons/thumb/7/71/Titus_Livius.png/220px-Titus_Livi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7/71/Titus_Livius.png/220px-Titus_Livius.png"/>
                    <pic:cNvPicPr>
                      <a:picLocks noChangeAspect="1" noChangeArrowheads="1"/>
                    </pic:cNvPicPr>
                  </pic:nvPicPr>
                  <pic:blipFill>
                    <a:blip r:embed="rId14"/>
                    <a:srcRect/>
                    <a:stretch>
                      <a:fillRect/>
                    </a:stretch>
                  </pic:blipFill>
                  <pic:spPr bwMode="auto">
                    <a:xfrm>
                      <a:off x="0" y="0"/>
                      <a:ext cx="1592485" cy="1923892"/>
                    </a:xfrm>
                    <a:prstGeom prst="rect">
                      <a:avLst/>
                    </a:prstGeom>
                    <a:noFill/>
                    <a:ln w="9525">
                      <a:noFill/>
                      <a:miter lim="800000"/>
                      <a:headEnd/>
                      <a:tailEnd/>
                    </a:ln>
                  </pic:spPr>
                </pic:pic>
              </a:graphicData>
            </a:graphic>
          </wp:inline>
        </w:drawing>
      </w:r>
      <w:r w:rsidR="00A21957" w:rsidRPr="00A21957">
        <w:t xml:space="preserve"> </w:t>
      </w:r>
      <w:r w:rsidR="00A21957">
        <w:rPr>
          <w:noProof/>
        </w:rPr>
        <w:drawing>
          <wp:inline distT="0" distB="0" distL="0" distR="0">
            <wp:extent cx="1505151" cy="1932167"/>
            <wp:effectExtent l="19050" t="0" r="0" b="0"/>
            <wp:docPr id="34" name="Immagine 34" descr="http://biografieonline.it/img/bio/m/Marco_Tullio_Cicer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biografieonline.it/img/bio/m/Marco_Tullio_Cicerone.jpg"/>
                    <pic:cNvPicPr>
                      <a:picLocks noChangeAspect="1" noChangeArrowheads="1"/>
                    </pic:cNvPicPr>
                  </pic:nvPicPr>
                  <pic:blipFill>
                    <a:blip r:embed="rId15"/>
                    <a:srcRect/>
                    <a:stretch>
                      <a:fillRect/>
                    </a:stretch>
                  </pic:blipFill>
                  <pic:spPr bwMode="auto">
                    <a:xfrm>
                      <a:off x="0" y="0"/>
                      <a:ext cx="1506535" cy="1933943"/>
                    </a:xfrm>
                    <a:prstGeom prst="rect">
                      <a:avLst/>
                    </a:prstGeom>
                    <a:noFill/>
                    <a:ln w="9525">
                      <a:noFill/>
                      <a:miter lim="800000"/>
                      <a:headEnd/>
                      <a:tailEnd/>
                    </a:ln>
                  </pic:spPr>
                </pic:pic>
              </a:graphicData>
            </a:graphic>
          </wp:inline>
        </w:drawing>
      </w:r>
    </w:p>
    <w:p w:rsidR="00A21957" w:rsidRDefault="00A21957" w:rsidP="007D61EE">
      <w:pPr>
        <w:rPr>
          <w:sz w:val="28"/>
        </w:rPr>
      </w:pPr>
      <w:r>
        <w:rPr>
          <w:sz w:val="28"/>
        </w:rPr>
        <w:t xml:space="preserve">Livio considerava le XII Tavole la fonte di tutto il diritto romano. Cicerone considerò le XII Tavole come il modello del suo trattato delle leggi. Erano presenti anche a Lucrezio, </w:t>
      </w:r>
      <w:proofErr w:type="spellStart"/>
      <w:r>
        <w:rPr>
          <w:sz w:val="28"/>
        </w:rPr>
        <w:t>Polibio</w:t>
      </w:r>
      <w:proofErr w:type="spellEnd"/>
      <w:r>
        <w:rPr>
          <w:sz w:val="28"/>
        </w:rPr>
        <w:t xml:space="preserve"> e Ennio.</w:t>
      </w:r>
    </w:p>
    <w:p w:rsidR="00A21957" w:rsidRPr="00A21957" w:rsidRDefault="00A21957" w:rsidP="007D61EE">
      <w:pPr>
        <w:rPr>
          <w:rFonts w:cstheme="minorHAnsi"/>
          <w:sz w:val="28"/>
          <w:szCs w:val="28"/>
        </w:rPr>
      </w:pPr>
      <w:proofErr w:type="spellStart"/>
      <w:r>
        <w:rPr>
          <w:sz w:val="28"/>
        </w:rPr>
        <w:t>Favorino</w:t>
      </w:r>
      <w:proofErr w:type="spellEnd"/>
      <w:r>
        <w:rPr>
          <w:sz w:val="28"/>
        </w:rPr>
        <w:t xml:space="preserve"> definisce Appio Claudio Crasso “legislatore e fondatore del d</w:t>
      </w:r>
      <w:r w:rsidRPr="00A21957">
        <w:rPr>
          <w:rFonts w:cstheme="minorHAnsi"/>
          <w:sz w:val="28"/>
          <w:szCs w:val="28"/>
        </w:rPr>
        <w:t>iritto romano”.</w:t>
      </w:r>
    </w:p>
    <w:p w:rsidR="00A21957" w:rsidRDefault="00A21957" w:rsidP="007D61EE">
      <w:pPr>
        <w:rPr>
          <w:rFonts w:cstheme="minorHAnsi"/>
          <w:sz w:val="28"/>
          <w:szCs w:val="28"/>
          <w:shd w:val="clear" w:color="auto" w:fill="FFFFFF"/>
        </w:rPr>
      </w:pPr>
      <w:r>
        <w:rPr>
          <w:rFonts w:cstheme="minorHAnsi"/>
          <w:sz w:val="28"/>
          <w:szCs w:val="28"/>
          <w:shd w:val="clear" w:color="auto" w:fill="FFFFFF"/>
        </w:rPr>
        <w:t xml:space="preserve">Cicerone afferma che: </w:t>
      </w:r>
      <w:r w:rsidRPr="00A21957">
        <w:rPr>
          <w:rFonts w:cstheme="minorHAnsi"/>
          <w:sz w:val="28"/>
          <w:szCs w:val="28"/>
          <w:shd w:val="clear" w:color="auto" w:fill="FFFFFF"/>
        </w:rPr>
        <w:t>« [...] mi pare che il solo libro delle XII tavole superi per autorità e utilità le biblioteche di tutti i filosofi »</w:t>
      </w:r>
    </w:p>
    <w:p w:rsidR="00A21957" w:rsidRDefault="007953E6" w:rsidP="007D61EE">
      <w:pPr>
        <w:rPr>
          <w:rFonts w:cstheme="minorHAnsi"/>
          <w:color w:val="FF0000"/>
          <w:sz w:val="28"/>
          <w:szCs w:val="28"/>
        </w:rPr>
      </w:pPr>
      <w:r>
        <w:rPr>
          <w:rFonts w:cstheme="minorHAnsi"/>
          <w:color w:val="FF0000"/>
          <w:sz w:val="28"/>
          <w:szCs w:val="28"/>
        </w:rPr>
        <w:t>Storia del decemvirato e storia del testo</w:t>
      </w:r>
    </w:p>
    <w:p w:rsidR="007953E6" w:rsidRDefault="007953E6" w:rsidP="007D61EE">
      <w:pPr>
        <w:rPr>
          <w:rFonts w:cstheme="minorHAnsi"/>
          <w:sz w:val="28"/>
          <w:szCs w:val="28"/>
        </w:rPr>
      </w:pPr>
      <w:r>
        <w:rPr>
          <w:rFonts w:cstheme="minorHAnsi"/>
          <w:sz w:val="28"/>
          <w:szCs w:val="28"/>
        </w:rPr>
        <w:t>La tradizione annalistica riguardo alle XII Tavole è alquanto copiosa. Le XII Tavole si inseriscono nel quadro del conflitto degli ordini fra patrizi e plebei. Per redigere le XII furono sospese le magistrature ordinarie e furono nominati un collegio decemvirale per l’occasione. Il decemvirato amministrava la città mentre redigeva le leggi. Inizialmente furono patrizi nel 451 a.C. Verranno ratificate 10 tavole.</w:t>
      </w:r>
    </w:p>
    <w:p w:rsidR="007953E6" w:rsidRDefault="007953E6" w:rsidP="007D61EE">
      <w:pPr>
        <w:rPr>
          <w:rFonts w:cstheme="minorHAnsi"/>
          <w:sz w:val="28"/>
          <w:szCs w:val="28"/>
        </w:rPr>
      </w:pPr>
      <w:r>
        <w:rPr>
          <w:rFonts w:cstheme="minorHAnsi"/>
          <w:sz w:val="28"/>
          <w:szCs w:val="28"/>
        </w:rPr>
        <w:lastRenderedPageBreak/>
        <w:t>Le XII Tavole perseguivano la ricerca di una comune articolazione del diritto non più usufrutto consuetudinario ad appannaggio del sopruso patrizio.</w:t>
      </w:r>
    </w:p>
    <w:p w:rsidR="007953E6" w:rsidRDefault="007953E6" w:rsidP="007D61EE">
      <w:pPr>
        <w:rPr>
          <w:rFonts w:cstheme="minorHAnsi"/>
          <w:sz w:val="28"/>
          <w:szCs w:val="28"/>
        </w:rPr>
      </w:pPr>
      <w:r>
        <w:rPr>
          <w:rFonts w:cstheme="minorHAnsi"/>
          <w:sz w:val="28"/>
          <w:szCs w:val="28"/>
        </w:rPr>
        <w:t>Il 2° decemvirato ebbe una forte componente  plebea nel 450 a.C. Tacciato di tirannide provocherà la restaurazione del consolato. Verranno ratificate 2 Tavole, dette inique (servitù, debito e divieto del matrimonio misto).</w:t>
      </w:r>
    </w:p>
    <w:p w:rsidR="007953E6" w:rsidRDefault="007953E6" w:rsidP="007D61EE">
      <w:r>
        <w:rPr>
          <w:noProof/>
        </w:rPr>
        <w:drawing>
          <wp:inline distT="0" distB="0" distL="0" distR="0">
            <wp:extent cx="1485923" cy="1975388"/>
            <wp:effectExtent l="19050" t="0" r="0" b="0"/>
            <wp:docPr id="2" name="Immagine 42" descr="https://upload.wikimedia.org/wikipedia/commons/thumb/0/04/Bust_of_Tito_Livio._Panteon_Veneto%3B_Istituto_Veneto_di_Scienze%2C_Lettere_ed_Arti.jpg/220px-Bust_of_Tito_Livio._Panteon_Veneto%3B_Istituto_Veneto_di_Scienze%2C_Lettere_ed_Ar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upload.wikimedia.org/wikipedia/commons/thumb/0/04/Bust_of_Tito_Livio._Panteon_Veneto%3B_Istituto_Veneto_di_Scienze%2C_Lettere_ed_Arti.jpg/220px-Bust_of_Tito_Livio._Panteon_Veneto%3B_Istituto_Veneto_di_Scienze%2C_Lettere_ed_Arti.jpg"/>
                    <pic:cNvPicPr>
                      <a:picLocks noChangeAspect="1" noChangeArrowheads="1"/>
                    </pic:cNvPicPr>
                  </pic:nvPicPr>
                  <pic:blipFill>
                    <a:blip r:embed="rId16"/>
                    <a:srcRect/>
                    <a:stretch>
                      <a:fillRect/>
                    </a:stretch>
                  </pic:blipFill>
                  <pic:spPr bwMode="auto">
                    <a:xfrm>
                      <a:off x="0" y="0"/>
                      <a:ext cx="1488272" cy="1978510"/>
                    </a:xfrm>
                    <a:prstGeom prst="rect">
                      <a:avLst/>
                    </a:prstGeom>
                    <a:noFill/>
                    <a:ln w="9525">
                      <a:noFill/>
                      <a:miter lim="800000"/>
                      <a:headEnd/>
                      <a:tailEnd/>
                    </a:ln>
                  </pic:spPr>
                </pic:pic>
              </a:graphicData>
            </a:graphic>
          </wp:inline>
        </w:drawing>
      </w:r>
      <w:r>
        <w:rPr>
          <w:noProof/>
        </w:rPr>
        <w:drawing>
          <wp:inline distT="0" distB="0" distL="0" distR="0">
            <wp:extent cx="1392479" cy="1982998"/>
            <wp:effectExtent l="19050" t="0" r="0" b="0"/>
            <wp:docPr id="39" name="Immagine 39" descr="https://upload.wikimedia.org/wikipedia/commons/thumb/7/7b/Dionigi_di_Alicarnasso.jpg/220px-Dionigi_di_Alicarnas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upload.wikimedia.org/wikipedia/commons/thumb/7/7b/Dionigi_di_Alicarnasso.jpg/220px-Dionigi_di_Alicarnasso.jpg"/>
                    <pic:cNvPicPr>
                      <a:picLocks noChangeAspect="1" noChangeArrowheads="1"/>
                    </pic:cNvPicPr>
                  </pic:nvPicPr>
                  <pic:blipFill>
                    <a:blip r:embed="rId17"/>
                    <a:srcRect/>
                    <a:stretch>
                      <a:fillRect/>
                    </a:stretch>
                  </pic:blipFill>
                  <pic:spPr bwMode="auto">
                    <a:xfrm>
                      <a:off x="0" y="0"/>
                      <a:ext cx="1394680" cy="1986132"/>
                    </a:xfrm>
                    <a:prstGeom prst="rect">
                      <a:avLst/>
                    </a:prstGeom>
                    <a:noFill/>
                    <a:ln w="9525">
                      <a:noFill/>
                      <a:miter lim="800000"/>
                      <a:headEnd/>
                      <a:tailEnd/>
                    </a:ln>
                  </pic:spPr>
                </pic:pic>
              </a:graphicData>
            </a:graphic>
          </wp:inline>
        </w:drawing>
      </w:r>
      <w:r w:rsidRPr="007953E6">
        <w:t xml:space="preserve"> </w:t>
      </w:r>
      <w:r w:rsidR="00313858">
        <w:rPr>
          <w:noProof/>
        </w:rPr>
        <w:drawing>
          <wp:inline distT="0" distB="0" distL="0" distR="0">
            <wp:extent cx="3034251" cy="1976610"/>
            <wp:effectExtent l="19050" t="0" r="0" b="0"/>
            <wp:docPr id="45" name="Immagine 45" descr="http://i2.res.24o.it/images2010/Migrazione/Viaggi24-Web/IMMAGINI/Originali/Grandi-Viaggi/Terre-Scoprire/2014/10/apertura_D346H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i2.res.24o.it/images2010/Migrazione/Viaggi24-Web/IMMAGINI/Originali/Grandi-Viaggi/Terre-Scoprire/2014/10/apertura_D346H6.jpg"/>
                    <pic:cNvPicPr>
                      <a:picLocks noChangeAspect="1" noChangeArrowheads="1"/>
                    </pic:cNvPicPr>
                  </pic:nvPicPr>
                  <pic:blipFill>
                    <a:blip r:embed="rId18"/>
                    <a:srcRect/>
                    <a:stretch>
                      <a:fillRect/>
                    </a:stretch>
                  </pic:blipFill>
                  <pic:spPr bwMode="auto">
                    <a:xfrm>
                      <a:off x="0" y="0"/>
                      <a:ext cx="3033898" cy="1976380"/>
                    </a:xfrm>
                    <a:prstGeom prst="rect">
                      <a:avLst/>
                    </a:prstGeom>
                    <a:noFill/>
                    <a:ln w="9525">
                      <a:noFill/>
                      <a:miter lim="800000"/>
                      <a:headEnd/>
                      <a:tailEnd/>
                    </a:ln>
                  </pic:spPr>
                </pic:pic>
              </a:graphicData>
            </a:graphic>
          </wp:inline>
        </w:drawing>
      </w:r>
    </w:p>
    <w:p w:rsidR="007953E6" w:rsidRDefault="007953E6" w:rsidP="007D61EE">
      <w:pPr>
        <w:rPr>
          <w:sz w:val="28"/>
        </w:rPr>
      </w:pPr>
      <w:r>
        <w:rPr>
          <w:sz w:val="28"/>
        </w:rPr>
        <w:t>Livio e Dionigi di Alicarnasso riportano la notizia dell’ambasceria</w:t>
      </w:r>
      <w:r w:rsidR="00313858">
        <w:rPr>
          <w:sz w:val="28"/>
        </w:rPr>
        <w:t xml:space="preserve"> in Grecia per studiare la legislazione di Solone. Addirittura Cicerone riporta un terzo anno del decemvirato. Pomponio affermò la presenza e i consigli dell’esule greco </w:t>
      </w:r>
      <w:proofErr w:type="spellStart"/>
      <w:r w:rsidR="00313858">
        <w:rPr>
          <w:sz w:val="28"/>
        </w:rPr>
        <w:t>Ermodoro</w:t>
      </w:r>
      <w:proofErr w:type="spellEnd"/>
      <w:r w:rsidR="00313858">
        <w:rPr>
          <w:sz w:val="28"/>
        </w:rPr>
        <w:t xml:space="preserve"> di Efeso, anche se è discussa la sua partecipazione.</w:t>
      </w:r>
    </w:p>
    <w:p w:rsidR="00313858" w:rsidRDefault="00313858" w:rsidP="007D61EE">
      <w:pPr>
        <w:rPr>
          <w:sz w:val="28"/>
        </w:rPr>
      </w:pPr>
      <w:r>
        <w:rPr>
          <w:sz w:val="28"/>
        </w:rPr>
        <w:t xml:space="preserve">La svolta è ritenuta dalla trazione come unica, quasi un lampo improvviso. Giusto </w:t>
      </w:r>
      <w:proofErr w:type="spellStart"/>
      <w:r>
        <w:rPr>
          <w:sz w:val="28"/>
        </w:rPr>
        <w:t>Lipsio</w:t>
      </w:r>
      <w:proofErr w:type="spellEnd"/>
      <w:r>
        <w:rPr>
          <w:sz w:val="28"/>
        </w:rPr>
        <w:t xml:space="preserve">, Jacopo </w:t>
      </w:r>
      <w:proofErr w:type="spellStart"/>
      <w:r>
        <w:rPr>
          <w:sz w:val="28"/>
        </w:rPr>
        <w:t>Gotfredo</w:t>
      </w:r>
      <w:proofErr w:type="spellEnd"/>
      <w:r>
        <w:rPr>
          <w:sz w:val="28"/>
        </w:rPr>
        <w:t>, Vico sono interpreti moderni.</w:t>
      </w:r>
    </w:p>
    <w:p w:rsidR="00E44F10" w:rsidRDefault="00313858" w:rsidP="007D61EE">
      <w:pPr>
        <w:rPr>
          <w:sz w:val="28"/>
        </w:rPr>
      </w:pPr>
      <w:r>
        <w:rPr>
          <w:sz w:val="28"/>
        </w:rPr>
        <w:t>Il testo fu inciso su tavole in bronzo andate liquefatte o preda o bruciate dai Galli durante il Sacco Gallico del 390 a.C.</w:t>
      </w:r>
      <w:r w:rsidR="00E44F10">
        <w:rPr>
          <w:sz w:val="28"/>
        </w:rPr>
        <w:t xml:space="preserve"> </w:t>
      </w:r>
    </w:p>
    <w:p w:rsidR="00313858" w:rsidRDefault="00E44F10" w:rsidP="007D61EE">
      <w:pPr>
        <w:rPr>
          <w:sz w:val="28"/>
        </w:rPr>
      </w:pPr>
      <w:r>
        <w:rPr>
          <w:sz w:val="28"/>
        </w:rPr>
        <w:t>I</w:t>
      </w:r>
      <w:r w:rsidR="004B324A">
        <w:rPr>
          <w:sz w:val="28"/>
        </w:rPr>
        <w:t xml:space="preserve">l testo quindi ci è presentato per citazioni imprecise e manca di un riordinamento critico moderno. Edizione curate sono quelle di </w:t>
      </w:r>
      <w:proofErr w:type="spellStart"/>
      <w:r w:rsidR="004B324A">
        <w:rPr>
          <w:sz w:val="28"/>
        </w:rPr>
        <w:t>Gotofredo</w:t>
      </w:r>
      <w:proofErr w:type="spellEnd"/>
      <w:r w:rsidR="004B324A">
        <w:rPr>
          <w:sz w:val="28"/>
        </w:rPr>
        <w:t xml:space="preserve">, </w:t>
      </w:r>
      <w:proofErr w:type="spellStart"/>
      <w:r w:rsidR="004B324A">
        <w:rPr>
          <w:sz w:val="28"/>
        </w:rPr>
        <w:t>Schoell</w:t>
      </w:r>
      <w:proofErr w:type="spellEnd"/>
      <w:r w:rsidR="004B324A">
        <w:rPr>
          <w:sz w:val="28"/>
        </w:rPr>
        <w:t xml:space="preserve">, </w:t>
      </w:r>
      <w:proofErr w:type="spellStart"/>
      <w:r w:rsidR="004B324A">
        <w:rPr>
          <w:sz w:val="28"/>
        </w:rPr>
        <w:t>Dirksen</w:t>
      </w:r>
      <w:proofErr w:type="spellEnd"/>
      <w:r w:rsidR="004B324A">
        <w:rPr>
          <w:sz w:val="28"/>
        </w:rPr>
        <w:t xml:space="preserve">, </w:t>
      </w:r>
      <w:proofErr w:type="spellStart"/>
      <w:r w:rsidR="004B324A">
        <w:rPr>
          <w:sz w:val="28"/>
        </w:rPr>
        <w:t>Brunt</w:t>
      </w:r>
      <w:proofErr w:type="spellEnd"/>
      <w:r w:rsidR="004B324A">
        <w:rPr>
          <w:sz w:val="28"/>
        </w:rPr>
        <w:t xml:space="preserve">, Salvatore </w:t>
      </w:r>
      <w:proofErr w:type="spellStart"/>
      <w:r w:rsidR="004B324A">
        <w:rPr>
          <w:sz w:val="28"/>
        </w:rPr>
        <w:t>Riccobono</w:t>
      </w:r>
      <w:proofErr w:type="spellEnd"/>
      <w:r w:rsidR="004B324A">
        <w:rPr>
          <w:sz w:val="28"/>
        </w:rPr>
        <w:t>.</w:t>
      </w:r>
    </w:p>
    <w:p w:rsidR="004B324A" w:rsidRDefault="004B324A" w:rsidP="007D61EE">
      <w:pPr>
        <w:rPr>
          <w:sz w:val="28"/>
        </w:rPr>
      </w:pPr>
      <w:r>
        <w:rPr>
          <w:sz w:val="28"/>
        </w:rPr>
        <w:t>Tutte le ricostruzioni a posteriori sono il segno di una scelta arbitraria.</w:t>
      </w:r>
    </w:p>
    <w:p w:rsidR="004B324A" w:rsidRDefault="004B324A" w:rsidP="007D61EE">
      <w:pPr>
        <w:rPr>
          <w:rFonts w:cstheme="minorHAnsi"/>
          <w:color w:val="FF0000"/>
          <w:sz w:val="28"/>
          <w:szCs w:val="28"/>
        </w:rPr>
      </w:pPr>
      <w:r>
        <w:rPr>
          <w:rFonts w:cstheme="minorHAnsi"/>
          <w:color w:val="FF0000"/>
          <w:sz w:val="28"/>
          <w:szCs w:val="28"/>
        </w:rPr>
        <w:t>Storiografia e problemi</w:t>
      </w:r>
    </w:p>
    <w:p w:rsidR="004B324A" w:rsidRDefault="004B324A" w:rsidP="007D61EE">
      <w:pPr>
        <w:rPr>
          <w:rFonts w:cstheme="minorHAnsi"/>
          <w:sz w:val="28"/>
          <w:szCs w:val="28"/>
        </w:rPr>
      </w:pPr>
      <w:r>
        <w:rPr>
          <w:rFonts w:cstheme="minorHAnsi"/>
          <w:sz w:val="28"/>
          <w:szCs w:val="28"/>
        </w:rPr>
        <w:t>Le interpretazioni inerenti alle XII Tavole hanno delle oscillazioni estreme. Si accetta totalmente la tradizione annalistica o la si rifiuta in blocco oppure si scorge passi di una legislazione successiva. A inizio secolo si è incominciato ad avere un rapporto più di fiducia rispetto alle XII Tavole con guadagni storiografici maggiori.</w:t>
      </w:r>
    </w:p>
    <w:p w:rsidR="006D7D95" w:rsidRDefault="006D7D95" w:rsidP="007D61EE">
      <w:pPr>
        <w:rPr>
          <w:rFonts w:cstheme="minorHAnsi"/>
          <w:sz w:val="28"/>
          <w:szCs w:val="28"/>
        </w:rPr>
      </w:pPr>
      <w:r>
        <w:rPr>
          <w:rFonts w:cstheme="minorHAnsi"/>
          <w:sz w:val="28"/>
          <w:szCs w:val="28"/>
        </w:rPr>
        <w:lastRenderedPageBreak/>
        <w:t>Nessuno oggi contesta l’esistenza delle XII Tavole come atto normativo della metà del V secolo.</w:t>
      </w:r>
      <w:r w:rsidR="00BD474E">
        <w:rPr>
          <w:rFonts w:cstheme="minorHAnsi"/>
          <w:sz w:val="28"/>
          <w:szCs w:val="28"/>
        </w:rPr>
        <w:t xml:space="preserve"> D’Ippolito considera le XII Tavole come un “momento profano” dell’organizzazione sociale tardo repubblicano aperta ora a una mentalità mercantile e affaristica. La legislazione ha uno sfondo di rigido “formalismo”, infatti, la ricerca infallibile degli atti giuridici (vicinato, negozi di traffici, processi, norme penali) indurisce le norme dando spazio a una realtà “</w:t>
      </w:r>
      <w:proofErr w:type="spellStart"/>
      <w:r w:rsidR="00BD474E">
        <w:rPr>
          <w:rFonts w:cstheme="minorHAnsi"/>
          <w:sz w:val="28"/>
          <w:szCs w:val="28"/>
        </w:rPr>
        <w:t>performatrice</w:t>
      </w:r>
      <w:proofErr w:type="spellEnd"/>
      <w:r w:rsidR="00BD474E">
        <w:rPr>
          <w:rFonts w:cstheme="minorHAnsi"/>
          <w:sz w:val="28"/>
          <w:szCs w:val="28"/>
        </w:rPr>
        <w:t>”.</w:t>
      </w:r>
    </w:p>
    <w:p w:rsidR="00BD474E" w:rsidRDefault="00BD474E" w:rsidP="007D61EE">
      <w:pPr>
        <w:rPr>
          <w:rFonts w:cstheme="minorHAnsi"/>
          <w:sz w:val="28"/>
          <w:szCs w:val="28"/>
        </w:rPr>
      </w:pPr>
      <w:r>
        <w:rPr>
          <w:rFonts w:cstheme="minorHAnsi"/>
          <w:sz w:val="28"/>
          <w:szCs w:val="28"/>
        </w:rPr>
        <w:t>La successione (chiave di volta d</w:t>
      </w:r>
      <w:r w:rsidR="00E44F10">
        <w:rPr>
          <w:rFonts w:cstheme="minorHAnsi"/>
          <w:sz w:val="28"/>
          <w:szCs w:val="28"/>
        </w:rPr>
        <w:t>i</w:t>
      </w:r>
      <w:r>
        <w:rPr>
          <w:rFonts w:cstheme="minorHAnsi"/>
          <w:sz w:val="28"/>
          <w:szCs w:val="28"/>
        </w:rPr>
        <w:t xml:space="preserve"> tutto il sistema civile romano) istituisce la famiglia come il nucleo “centrale” </w:t>
      </w:r>
      <w:r w:rsidR="00E44F10">
        <w:rPr>
          <w:rFonts w:cstheme="minorHAnsi"/>
          <w:sz w:val="28"/>
          <w:szCs w:val="28"/>
        </w:rPr>
        <w:t>i</w:t>
      </w:r>
      <w:r>
        <w:rPr>
          <w:rFonts w:cstheme="minorHAnsi"/>
          <w:sz w:val="28"/>
          <w:szCs w:val="28"/>
        </w:rPr>
        <w:t xml:space="preserve">n cui il pater </w:t>
      </w:r>
      <w:proofErr w:type="spellStart"/>
      <w:r>
        <w:rPr>
          <w:rFonts w:cstheme="minorHAnsi"/>
          <w:sz w:val="28"/>
          <w:szCs w:val="28"/>
        </w:rPr>
        <w:t>familias</w:t>
      </w:r>
      <w:proofErr w:type="spellEnd"/>
      <w:r>
        <w:rPr>
          <w:rFonts w:cstheme="minorHAnsi"/>
          <w:sz w:val="28"/>
          <w:szCs w:val="28"/>
        </w:rPr>
        <w:t xml:space="preserve"> ha potere di vita e di morte riguardo ai suoi sottoposti</w:t>
      </w:r>
      <w:r w:rsidR="00E44F10">
        <w:rPr>
          <w:rFonts w:cstheme="minorHAnsi"/>
          <w:sz w:val="28"/>
          <w:szCs w:val="28"/>
        </w:rPr>
        <w:t xml:space="preserve"> e stabilisce norme molto rigide</w:t>
      </w:r>
      <w:r>
        <w:rPr>
          <w:rFonts w:cstheme="minorHAnsi"/>
          <w:sz w:val="28"/>
          <w:szCs w:val="28"/>
        </w:rPr>
        <w:t xml:space="preserve"> riguardo alla parentela.</w:t>
      </w:r>
    </w:p>
    <w:p w:rsidR="00BD474E" w:rsidRDefault="00BD474E" w:rsidP="007D61EE">
      <w:r>
        <w:rPr>
          <w:noProof/>
        </w:rPr>
        <w:drawing>
          <wp:inline distT="0" distB="0" distL="0" distR="0">
            <wp:extent cx="2962689" cy="2877429"/>
            <wp:effectExtent l="19050" t="0" r="9111" b="0"/>
            <wp:docPr id="48" name="Immagine 48" descr="http://vitale6.simply-webspace.it/wp-content/uploads/2014/11/padre-ro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vitale6.simply-webspace.it/wp-content/uploads/2014/11/padre-roma.jpg"/>
                    <pic:cNvPicPr>
                      <a:picLocks noChangeAspect="1" noChangeArrowheads="1"/>
                    </pic:cNvPicPr>
                  </pic:nvPicPr>
                  <pic:blipFill>
                    <a:blip r:embed="rId19"/>
                    <a:srcRect/>
                    <a:stretch>
                      <a:fillRect/>
                    </a:stretch>
                  </pic:blipFill>
                  <pic:spPr bwMode="auto">
                    <a:xfrm>
                      <a:off x="0" y="0"/>
                      <a:ext cx="2962689" cy="2877429"/>
                    </a:xfrm>
                    <a:prstGeom prst="rect">
                      <a:avLst/>
                    </a:prstGeom>
                    <a:noFill/>
                    <a:ln w="9525">
                      <a:noFill/>
                      <a:miter lim="800000"/>
                      <a:headEnd/>
                      <a:tailEnd/>
                    </a:ln>
                  </pic:spPr>
                </pic:pic>
              </a:graphicData>
            </a:graphic>
          </wp:inline>
        </w:drawing>
      </w:r>
      <w:r w:rsidRPr="00BD474E">
        <w:t xml:space="preserve"> </w:t>
      </w:r>
      <w:r>
        <w:rPr>
          <w:noProof/>
        </w:rPr>
        <w:drawing>
          <wp:inline distT="0" distB="0" distL="0" distR="0">
            <wp:extent cx="2891127" cy="3161527"/>
            <wp:effectExtent l="19050" t="0" r="4473" b="0"/>
            <wp:docPr id="51" name="Immagine 51" descr="http://www.sragg.de/geschichte/Websites/Web%20Alltag%20Rom/images/projektseiten/famil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sragg.de/geschichte/Websites/Web%20Alltag%20Rom/images/projektseiten/familia1.jpg"/>
                    <pic:cNvPicPr>
                      <a:picLocks noChangeAspect="1" noChangeArrowheads="1"/>
                    </pic:cNvPicPr>
                  </pic:nvPicPr>
                  <pic:blipFill>
                    <a:blip r:embed="rId20"/>
                    <a:srcRect/>
                    <a:stretch>
                      <a:fillRect/>
                    </a:stretch>
                  </pic:blipFill>
                  <pic:spPr bwMode="auto">
                    <a:xfrm>
                      <a:off x="0" y="0"/>
                      <a:ext cx="2895968" cy="3166821"/>
                    </a:xfrm>
                    <a:prstGeom prst="rect">
                      <a:avLst/>
                    </a:prstGeom>
                    <a:noFill/>
                    <a:ln w="9525">
                      <a:noFill/>
                      <a:miter lim="800000"/>
                      <a:headEnd/>
                      <a:tailEnd/>
                    </a:ln>
                  </pic:spPr>
                </pic:pic>
              </a:graphicData>
            </a:graphic>
          </wp:inline>
        </w:drawing>
      </w:r>
    </w:p>
    <w:p w:rsidR="00BD474E" w:rsidRDefault="00BD474E" w:rsidP="007D61EE">
      <w:pPr>
        <w:rPr>
          <w:sz w:val="28"/>
        </w:rPr>
      </w:pPr>
      <w:r>
        <w:rPr>
          <w:sz w:val="28"/>
        </w:rPr>
        <w:t xml:space="preserve">La </w:t>
      </w:r>
      <w:proofErr w:type="spellStart"/>
      <w:r>
        <w:rPr>
          <w:sz w:val="28"/>
        </w:rPr>
        <w:t>mancipatio</w:t>
      </w:r>
      <w:proofErr w:type="spellEnd"/>
      <w:r>
        <w:rPr>
          <w:sz w:val="28"/>
        </w:rPr>
        <w:t xml:space="preserve"> o </w:t>
      </w:r>
      <w:proofErr w:type="spellStart"/>
      <w:r>
        <w:rPr>
          <w:sz w:val="28"/>
        </w:rPr>
        <w:t>mancipium</w:t>
      </w:r>
      <w:proofErr w:type="spellEnd"/>
      <w:r>
        <w:rPr>
          <w:sz w:val="28"/>
        </w:rPr>
        <w:t xml:space="preserve"> defin</w:t>
      </w:r>
      <w:r w:rsidR="00EC3725">
        <w:rPr>
          <w:sz w:val="28"/>
        </w:rPr>
        <w:t>iv</w:t>
      </w:r>
      <w:r>
        <w:rPr>
          <w:sz w:val="28"/>
        </w:rPr>
        <w:t>a il negozio o traffico fra du</w:t>
      </w:r>
      <w:r w:rsidR="00EC3725">
        <w:rPr>
          <w:sz w:val="28"/>
        </w:rPr>
        <w:t>e persone ossia era il trasferimento di un bene a un’altra sfera potestativa, il tutto celebrato in una formula solenne. L’acquirente enunciava una formula davanti all’altro contraente e a 5 testimoni e un altro incaricato di pesare l’</w:t>
      </w:r>
      <w:proofErr w:type="spellStart"/>
      <w:r w:rsidR="00EC3725">
        <w:rPr>
          <w:sz w:val="28"/>
        </w:rPr>
        <w:t>aes</w:t>
      </w:r>
      <w:proofErr w:type="spellEnd"/>
      <w:r w:rsidR="00EC3725">
        <w:rPr>
          <w:sz w:val="28"/>
        </w:rPr>
        <w:t xml:space="preserve"> rude (la prima forma di monetazione in bronzo), coincidente al prezzo della cosa comprata.</w:t>
      </w:r>
    </w:p>
    <w:p w:rsidR="00EC3725" w:rsidRDefault="00EC3725" w:rsidP="007D61EE">
      <w:pPr>
        <w:rPr>
          <w:rFonts w:cstheme="minorHAnsi"/>
          <w:sz w:val="28"/>
          <w:szCs w:val="28"/>
        </w:rPr>
      </w:pPr>
      <w:r>
        <w:rPr>
          <w:noProof/>
        </w:rPr>
        <w:lastRenderedPageBreak/>
        <w:drawing>
          <wp:inline distT="0" distB="0" distL="0" distR="0">
            <wp:extent cx="3161471" cy="2234316"/>
            <wp:effectExtent l="19050" t="0" r="829" b="0"/>
            <wp:docPr id="54" name="Immagine 54" descr="http://nd06.jxs.cz/287/959/2c63462257_94031624_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nd06.jxs.cz/287/959/2c63462257_94031624_o2.jpg"/>
                    <pic:cNvPicPr>
                      <a:picLocks noChangeAspect="1" noChangeArrowheads="1"/>
                    </pic:cNvPicPr>
                  </pic:nvPicPr>
                  <pic:blipFill>
                    <a:blip r:embed="rId21"/>
                    <a:srcRect/>
                    <a:stretch>
                      <a:fillRect/>
                    </a:stretch>
                  </pic:blipFill>
                  <pic:spPr bwMode="auto">
                    <a:xfrm>
                      <a:off x="0" y="0"/>
                      <a:ext cx="3164691" cy="2236592"/>
                    </a:xfrm>
                    <a:prstGeom prst="rect">
                      <a:avLst/>
                    </a:prstGeom>
                    <a:noFill/>
                    <a:ln w="9525">
                      <a:noFill/>
                      <a:miter lim="800000"/>
                      <a:headEnd/>
                      <a:tailEnd/>
                    </a:ln>
                  </pic:spPr>
                </pic:pic>
              </a:graphicData>
            </a:graphic>
          </wp:inline>
        </w:drawing>
      </w:r>
      <w:r w:rsidR="00600E69">
        <w:rPr>
          <w:noProof/>
        </w:rPr>
        <w:drawing>
          <wp:inline distT="0" distB="0" distL="0" distR="0">
            <wp:extent cx="2819566" cy="2234316"/>
            <wp:effectExtent l="19050" t="0" r="0" b="0"/>
            <wp:docPr id="57" name="Immagine 57" descr="http://2.bp.blogspot.com/-_OOPYXYsO-c/U1dzreivoYI/AAAAAAAAS38/puCQ5BuA_Ws/s1600/tomba-etrus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2.bp.blogspot.com/-_OOPYXYsO-c/U1dzreivoYI/AAAAAAAAS38/puCQ5BuA_Ws/s1600/tomba-etrusca.jpg"/>
                    <pic:cNvPicPr>
                      <a:picLocks noChangeAspect="1" noChangeArrowheads="1"/>
                    </pic:cNvPicPr>
                  </pic:nvPicPr>
                  <pic:blipFill>
                    <a:blip r:embed="rId22"/>
                    <a:srcRect/>
                    <a:stretch>
                      <a:fillRect/>
                    </a:stretch>
                  </pic:blipFill>
                  <pic:spPr bwMode="auto">
                    <a:xfrm>
                      <a:off x="0" y="0"/>
                      <a:ext cx="2830515" cy="2242992"/>
                    </a:xfrm>
                    <a:prstGeom prst="rect">
                      <a:avLst/>
                    </a:prstGeom>
                    <a:noFill/>
                    <a:ln w="9525">
                      <a:noFill/>
                      <a:miter lim="800000"/>
                      <a:headEnd/>
                      <a:tailEnd/>
                    </a:ln>
                  </pic:spPr>
                </pic:pic>
              </a:graphicData>
            </a:graphic>
          </wp:inline>
        </w:drawing>
      </w:r>
    </w:p>
    <w:p w:rsidR="00EC3725" w:rsidRPr="00BD474E" w:rsidRDefault="00EC3725" w:rsidP="007D61EE">
      <w:pPr>
        <w:rPr>
          <w:rFonts w:cstheme="minorHAnsi"/>
          <w:sz w:val="28"/>
          <w:szCs w:val="28"/>
        </w:rPr>
      </w:pPr>
      <w:r>
        <w:rPr>
          <w:rFonts w:cstheme="minorHAnsi"/>
          <w:sz w:val="28"/>
          <w:szCs w:val="28"/>
        </w:rPr>
        <w:t xml:space="preserve">Le formule processuale (come l’imposizione con le mani, con gesti, per giuramento, per arbitro o per presa di pegno) ovvero le </w:t>
      </w:r>
      <w:proofErr w:type="spellStart"/>
      <w:r>
        <w:rPr>
          <w:rFonts w:cstheme="minorHAnsi"/>
          <w:sz w:val="28"/>
          <w:szCs w:val="28"/>
        </w:rPr>
        <w:t>legis</w:t>
      </w:r>
      <w:proofErr w:type="spellEnd"/>
      <w:r>
        <w:rPr>
          <w:rFonts w:cstheme="minorHAnsi"/>
          <w:sz w:val="28"/>
          <w:szCs w:val="28"/>
        </w:rPr>
        <w:t xml:space="preserve"> </w:t>
      </w:r>
      <w:proofErr w:type="spellStart"/>
      <w:r>
        <w:rPr>
          <w:rFonts w:cstheme="minorHAnsi"/>
          <w:sz w:val="28"/>
          <w:szCs w:val="28"/>
        </w:rPr>
        <w:t>actione</w:t>
      </w:r>
      <w:proofErr w:type="spellEnd"/>
      <w:r>
        <w:rPr>
          <w:rFonts w:cstheme="minorHAnsi"/>
          <w:sz w:val="28"/>
          <w:szCs w:val="28"/>
        </w:rPr>
        <w:t xml:space="preserve"> erano considerate “odiose” (anche secondo Gaio) e sostituite con pratiche più duttili. Un caso ad esempio è l’orrenda ma meticolosa divisione del corpo in base alle parti che i creditori devono ricevere dal debitore.</w:t>
      </w:r>
      <w:r w:rsidR="00600E69">
        <w:rPr>
          <w:rFonts w:cstheme="minorHAnsi"/>
          <w:sz w:val="28"/>
          <w:szCs w:val="28"/>
        </w:rPr>
        <w:t xml:space="preserve"> Anche le pratiche funerarie si distanziavano dalle sontuose pratiche etrusche.</w:t>
      </w:r>
    </w:p>
    <w:p w:rsidR="00A21957" w:rsidRDefault="00600E69" w:rsidP="007D61EE">
      <w:pPr>
        <w:rPr>
          <w:sz w:val="28"/>
        </w:rPr>
      </w:pPr>
      <w:r>
        <w:rPr>
          <w:sz w:val="28"/>
        </w:rPr>
        <w:t>Le XII furono la stella polare all’interno della costellazione giuridica romana.</w:t>
      </w:r>
      <w:r w:rsidR="00602614">
        <w:rPr>
          <w:sz w:val="28"/>
        </w:rPr>
        <w:t xml:space="preserve"> I giureconsulti più famosi l’hanno commentata: Sesto Elio (amico di Scipione Africano), </w:t>
      </w:r>
      <w:proofErr w:type="spellStart"/>
      <w:r w:rsidR="00602614">
        <w:rPr>
          <w:sz w:val="28"/>
        </w:rPr>
        <w:t>Antistio</w:t>
      </w:r>
      <w:proofErr w:type="spellEnd"/>
      <w:r w:rsidR="00602614">
        <w:rPr>
          <w:sz w:val="28"/>
        </w:rPr>
        <w:t xml:space="preserve"> </w:t>
      </w:r>
      <w:proofErr w:type="spellStart"/>
      <w:r w:rsidR="00602614">
        <w:rPr>
          <w:sz w:val="28"/>
        </w:rPr>
        <w:t>Labeone</w:t>
      </w:r>
      <w:proofErr w:type="spellEnd"/>
      <w:r w:rsidR="00602614">
        <w:rPr>
          <w:sz w:val="28"/>
        </w:rPr>
        <w:t xml:space="preserve"> (epoca augustea) e Gaio. La serie dei commentari</w:t>
      </w:r>
      <w:r w:rsidR="00AA4E0F">
        <w:rPr>
          <w:sz w:val="28"/>
        </w:rPr>
        <w:t xml:space="preserve"> conferma l’autenticità delle XII Tavole.</w:t>
      </w:r>
    </w:p>
    <w:p w:rsidR="00AA4E0F" w:rsidRDefault="00AA4E0F" w:rsidP="007D61EE">
      <w:pPr>
        <w:rPr>
          <w:sz w:val="28"/>
        </w:rPr>
      </w:pPr>
      <w:r>
        <w:rPr>
          <w:sz w:val="28"/>
        </w:rPr>
        <w:t>Le iscrizioni epigrafiche dei magistrati e i fasti confermano i decemvirati del 451 e del 450. La critica moderna attesta l’autenticità delle XII Tavole e del primo decemvirato. La critica moderna rifiuta l’</w:t>
      </w:r>
      <w:proofErr w:type="spellStart"/>
      <w:r>
        <w:rPr>
          <w:sz w:val="28"/>
        </w:rPr>
        <w:t>adfecatio</w:t>
      </w:r>
      <w:proofErr w:type="spellEnd"/>
      <w:r>
        <w:rPr>
          <w:sz w:val="28"/>
        </w:rPr>
        <w:t xml:space="preserve"> regni del decemvirato e di Appio Claudio. Il 2° decemvirato avrebbe costituito un momento “democratico” di alle</w:t>
      </w:r>
      <w:r w:rsidR="00FF3A07">
        <w:rPr>
          <w:sz w:val="28"/>
        </w:rPr>
        <w:t>a</w:t>
      </w:r>
      <w:r>
        <w:rPr>
          <w:sz w:val="28"/>
        </w:rPr>
        <w:t>nza patrizio-plebea</w:t>
      </w:r>
      <w:r w:rsidR="00FF3A07">
        <w:rPr>
          <w:sz w:val="28"/>
        </w:rPr>
        <w:t xml:space="preserve"> secondo d’Ippolito e sopraffatta dai due patrizi Valerio e Orazio. Oggi anche la partecipazione di </w:t>
      </w:r>
      <w:proofErr w:type="spellStart"/>
      <w:r w:rsidR="00FF3A07">
        <w:rPr>
          <w:sz w:val="28"/>
        </w:rPr>
        <w:t>Ermodoro</w:t>
      </w:r>
      <w:proofErr w:type="spellEnd"/>
      <w:r w:rsidR="00FF3A07">
        <w:rPr>
          <w:sz w:val="28"/>
        </w:rPr>
        <w:t xml:space="preserve"> di Efeso viene considerata dubbia</w:t>
      </w:r>
      <w:r w:rsidR="00416A64">
        <w:rPr>
          <w:sz w:val="28"/>
        </w:rPr>
        <w:t>.</w:t>
      </w:r>
    </w:p>
    <w:p w:rsidR="00416A64" w:rsidRDefault="00416A64" w:rsidP="007D61EE">
      <w:pPr>
        <w:rPr>
          <w:sz w:val="28"/>
        </w:rPr>
      </w:pPr>
      <w:r>
        <w:rPr>
          <w:sz w:val="28"/>
        </w:rPr>
        <w:t>Indubbiamente la città fu affidata a un governo decemvirale per la costituzione di un’opera legislativa organica.</w:t>
      </w:r>
    </w:p>
    <w:p w:rsidR="00416A64" w:rsidRDefault="00416A64" w:rsidP="007D61EE">
      <w:pPr>
        <w:rPr>
          <w:color w:val="FF0000"/>
          <w:sz w:val="28"/>
        </w:rPr>
      </w:pPr>
      <w:r>
        <w:rPr>
          <w:color w:val="FF0000"/>
          <w:sz w:val="28"/>
        </w:rPr>
        <w:t>Lucrezio e Cicerone</w:t>
      </w:r>
    </w:p>
    <w:p w:rsidR="00416A64" w:rsidRDefault="00E44F10" w:rsidP="007D61EE">
      <w:pPr>
        <w:rPr>
          <w:sz w:val="28"/>
        </w:rPr>
      </w:pPr>
      <w:r>
        <w:rPr>
          <w:sz w:val="28"/>
        </w:rPr>
        <w:t>Livio era insicuro</w:t>
      </w:r>
      <w:r w:rsidR="003A1FC2">
        <w:rPr>
          <w:sz w:val="28"/>
        </w:rPr>
        <w:t xml:space="preserve"> di un diritto scritto prima del decemvirato. Dionigi di Alicarnasso ricorda come dopo la cacciata dei Tarquini il diritto era esclusivo ai soli patrizi in base all’</w:t>
      </w:r>
      <w:proofErr w:type="spellStart"/>
      <w:r w:rsidR="003A1FC2">
        <w:rPr>
          <w:sz w:val="28"/>
        </w:rPr>
        <w:t>auctoritas</w:t>
      </w:r>
      <w:proofErr w:type="spellEnd"/>
      <w:r w:rsidR="003A1FC2">
        <w:rPr>
          <w:sz w:val="28"/>
        </w:rPr>
        <w:t xml:space="preserve"> oppure al segreto </w:t>
      </w:r>
      <w:proofErr w:type="spellStart"/>
      <w:r w:rsidR="003A1FC2">
        <w:rPr>
          <w:sz w:val="28"/>
        </w:rPr>
        <w:t>ius</w:t>
      </w:r>
      <w:proofErr w:type="spellEnd"/>
      <w:r w:rsidR="003A1FC2">
        <w:rPr>
          <w:sz w:val="28"/>
        </w:rPr>
        <w:t xml:space="preserve"> pontificale, alla cui conoscenza erano esclusi tutti i contadini. Anche Pomponio descrive l’assenza di una legge scritta nel periodo post-monarchico e di un diritto fondato sulla consuetudine.</w:t>
      </w:r>
    </w:p>
    <w:p w:rsidR="00E40FD2" w:rsidRDefault="00E40FD2" w:rsidP="007D61EE">
      <w:pPr>
        <w:rPr>
          <w:sz w:val="28"/>
        </w:rPr>
      </w:pPr>
      <w:r>
        <w:rPr>
          <w:noProof/>
        </w:rPr>
        <w:lastRenderedPageBreak/>
        <w:drawing>
          <wp:inline distT="0" distB="0" distL="0" distR="0">
            <wp:extent cx="2684393" cy="1937669"/>
            <wp:effectExtent l="19050" t="0" r="1657" b="0"/>
            <wp:docPr id="62" name="Immagine 62" descr="http://community.oiconlus.it/anchise/files/2015/08/cicer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community.oiconlus.it/anchise/files/2015/08/cicerone.jpg"/>
                    <pic:cNvPicPr>
                      <a:picLocks noChangeAspect="1" noChangeArrowheads="1"/>
                    </pic:cNvPicPr>
                  </pic:nvPicPr>
                  <pic:blipFill>
                    <a:blip r:embed="rId23"/>
                    <a:srcRect/>
                    <a:stretch>
                      <a:fillRect/>
                    </a:stretch>
                  </pic:blipFill>
                  <pic:spPr bwMode="auto">
                    <a:xfrm>
                      <a:off x="0" y="0"/>
                      <a:ext cx="2687519" cy="1939925"/>
                    </a:xfrm>
                    <a:prstGeom prst="rect">
                      <a:avLst/>
                    </a:prstGeom>
                    <a:noFill/>
                    <a:ln w="9525">
                      <a:noFill/>
                      <a:miter lim="800000"/>
                      <a:headEnd/>
                      <a:tailEnd/>
                    </a:ln>
                  </pic:spPr>
                </pic:pic>
              </a:graphicData>
            </a:graphic>
          </wp:inline>
        </w:drawing>
      </w:r>
      <w:r w:rsidRPr="00E40FD2">
        <w:t xml:space="preserve"> </w:t>
      </w:r>
      <w:r>
        <w:rPr>
          <w:noProof/>
        </w:rPr>
        <w:drawing>
          <wp:inline distT="0" distB="0" distL="0" distR="0">
            <wp:extent cx="1407160" cy="1900555"/>
            <wp:effectExtent l="19050" t="0" r="2540" b="0"/>
            <wp:docPr id="65" name="Immagine 65" descr="https://upload.wikimedia.org/wikipedia/commons/2/26/Lucretiu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upload.wikimedia.org/wikipedia/commons/2/26/Lucretius1.png"/>
                    <pic:cNvPicPr>
                      <a:picLocks noChangeAspect="1" noChangeArrowheads="1"/>
                    </pic:cNvPicPr>
                  </pic:nvPicPr>
                  <pic:blipFill>
                    <a:blip r:embed="rId24"/>
                    <a:srcRect/>
                    <a:stretch>
                      <a:fillRect/>
                    </a:stretch>
                  </pic:blipFill>
                  <pic:spPr bwMode="auto">
                    <a:xfrm>
                      <a:off x="0" y="0"/>
                      <a:ext cx="1407160" cy="1900555"/>
                    </a:xfrm>
                    <a:prstGeom prst="rect">
                      <a:avLst/>
                    </a:prstGeom>
                    <a:noFill/>
                    <a:ln w="9525">
                      <a:noFill/>
                      <a:miter lim="800000"/>
                      <a:headEnd/>
                      <a:tailEnd/>
                    </a:ln>
                  </pic:spPr>
                </pic:pic>
              </a:graphicData>
            </a:graphic>
          </wp:inline>
        </w:drawing>
      </w:r>
    </w:p>
    <w:p w:rsidR="00E40FD2" w:rsidRDefault="00881AB6" w:rsidP="007D61EE">
      <w:pPr>
        <w:rPr>
          <w:sz w:val="28"/>
        </w:rPr>
      </w:pPr>
      <w:r>
        <w:rPr>
          <w:sz w:val="28"/>
        </w:rPr>
        <w:t xml:space="preserve">Cicerone scrisse verso la fine del 44 il “manuale della classe dirigente romana” vale a dire il De </w:t>
      </w:r>
      <w:proofErr w:type="spellStart"/>
      <w:r>
        <w:rPr>
          <w:sz w:val="28"/>
        </w:rPr>
        <w:t>Officiis</w:t>
      </w:r>
      <w:proofErr w:type="spellEnd"/>
      <w:r>
        <w:rPr>
          <w:sz w:val="28"/>
        </w:rPr>
        <w:t>. Cicerone riteneva normale l’aspirazione all’uguaglianza di diritto da parte dei cittadini che in una prima fase si rivolgevano a un re giusto, poi non dimostratosi più all’altezza si ricorse alle leggi.</w:t>
      </w:r>
      <w:r w:rsidR="008673AF">
        <w:rPr>
          <w:sz w:val="28"/>
        </w:rPr>
        <w:t xml:space="preserve"> Cicerone fa esplicito rifermento al </w:t>
      </w:r>
      <w:proofErr w:type="spellStart"/>
      <w:r w:rsidR="008673AF">
        <w:rPr>
          <w:sz w:val="28"/>
        </w:rPr>
        <w:t>mos</w:t>
      </w:r>
      <w:proofErr w:type="spellEnd"/>
      <w:r w:rsidR="008673AF">
        <w:rPr>
          <w:sz w:val="28"/>
        </w:rPr>
        <w:t xml:space="preserve"> </w:t>
      </w:r>
      <w:proofErr w:type="spellStart"/>
      <w:r w:rsidR="008673AF">
        <w:rPr>
          <w:sz w:val="28"/>
        </w:rPr>
        <w:t>maiourum</w:t>
      </w:r>
      <w:proofErr w:type="spellEnd"/>
      <w:r w:rsidR="008673AF">
        <w:rPr>
          <w:sz w:val="28"/>
        </w:rPr>
        <w:t xml:space="preserve"> e alla messa per inscritto del suo spirito all’interno delle 12 Tavole</w:t>
      </w:r>
      <w:r w:rsidR="00E40FD2">
        <w:rPr>
          <w:sz w:val="28"/>
        </w:rPr>
        <w:t>.</w:t>
      </w:r>
    </w:p>
    <w:p w:rsidR="00E40FD2" w:rsidRDefault="00E40FD2" w:rsidP="007D61EE">
      <w:pPr>
        <w:rPr>
          <w:b/>
          <w:sz w:val="28"/>
          <w:u w:val="single"/>
        </w:rPr>
      </w:pPr>
      <w:r>
        <w:rPr>
          <w:b/>
          <w:sz w:val="28"/>
          <w:u w:val="single"/>
        </w:rPr>
        <w:t xml:space="preserve">Il De </w:t>
      </w:r>
      <w:proofErr w:type="spellStart"/>
      <w:r>
        <w:rPr>
          <w:b/>
          <w:sz w:val="28"/>
          <w:u w:val="single"/>
        </w:rPr>
        <w:t>Officis</w:t>
      </w:r>
      <w:proofErr w:type="spellEnd"/>
      <w:r>
        <w:rPr>
          <w:b/>
          <w:sz w:val="28"/>
          <w:u w:val="single"/>
        </w:rPr>
        <w:t xml:space="preserve"> testimonia che con le XII Tavole Roma svolta dalla fase monarchica a quella repubblicana vera e propria.</w:t>
      </w:r>
    </w:p>
    <w:p w:rsidR="00E40FD2" w:rsidRDefault="00E40FD2" w:rsidP="007D61EE">
      <w:pPr>
        <w:rPr>
          <w:sz w:val="28"/>
        </w:rPr>
      </w:pPr>
      <w:r>
        <w:rPr>
          <w:sz w:val="28"/>
        </w:rPr>
        <w:t>Stranamente il modello di riferimento di Cicerone era il materialista Lucrezio. Lucrezio descriveva lo stadio primitivo così: “abbattuta la maestà dei re, tutto era ridotto alla turbolenza e al disordine e ciascuno richiedeva per sé stesso il potere e il primato” e prosegue “allora qualcuno insegnò a creare magistrati e a fondare il diritto, per indurre gli uomini a obbedire alle leggi”.</w:t>
      </w:r>
    </w:p>
    <w:p w:rsidR="00E40FD2" w:rsidRDefault="00E40FD2" w:rsidP="007D61EE">
      <w:pPr>
        <w:rPr>
          <w:sz w:val="28"/>
        </w:rPr>
      </w:pPr>
      <w:r>
        <w:rPr>
          <w:sz w:val="28"/>
        </w:rPr>
        <w:t>A Lucrezio non sfuggì l’allusione con le XII Tavole. Cicerone era l’editore del Lucrezio morto, così venne a conoscenza dell’opera di Lucrezio.</w:t>
      </w:r>
    </w:p>
    <w:p w:rsidR="00E40FD2" w:rsidRDefault="00E40FD2" w:rsidP="007D61EE">
      <w:pPr>
        <w:rPr>
          <w:sz w:val="28"/>
        </w:rPr>
      </w:pPr>
      <w:r>
        <w:rPr>
          <w:sz w:val="28"/>
        </w:rPr>
        <w:t>Sia Lucrezio sia Cicerone sia i ceti sociali consideravano le XII Tavole come momento di estrema chiarificazione costituzionale e legislativa.</w:t>
      </w:r>
    </w:p>
    <w:p w:rsidR="0009297C" w:rsidRDefault="0009297C" w:rsidP="007D61EE">
      <w:pPr>
        <w:rPr>
          <w:color w:val="FF0000"/>
          <w:sz w:val="28"/>
        </w:rPr>
      </w:pPr>
      <w:r>
        <w:rPr>
          <w:color w:val="FF0000"/>
          <w:sz w:val="28"/>
        </w:rPr>
        <w:t>Legislatori e pontefici</w:t>
      </w:r>
    </w:p>
    <w:p w:rsidR="0009297C" w:rsidRDefault="0009297C" w:rsidP="007D61EE">
      <w:pPr>
        <w:rPr>
          <w:sz w:val="28"/>
        </w:rPr>
      </w:pPr>
      <w:r>
        <w:rPr>
          <w:sz w:val="28"/>
        </w:rPr>
        <w:t xml:space="preserve">Qual è il “contesto giuridico” delle XII tavole? Sono attendibili l’ambasceria in Grecia o in Magna Grecia e la collaborazione di </w:t>
      </w:r>
      <w:proofErr w:type="spellStart"/>
      <w:r>
        <w:rPr>
          <w:sz w:val="28"/>
        </w:rPr>
        <w:t>Ermodoro</w:t>
      </w:r>
      <w:proofErr w:type="spellEnd"/>
      <w:r>
        <w:rPr>
          <w:sz w:val="28"/>
        </w:rPr>
        <w:t xml:space="preserve"> di Efeso?</w:t>
      </w:r>
    </w:p>
    <w:p w:rsidR="0009297C" w:rsidRDefault="0009297C" w:rsidP="007D61EE">
      <w:pPr>
        <w:rPr>
          <w:sz w:val="28"/>
        </w:rPr>
      </w:pPr>
      <w:r>
        <w:rPr>
          <w:sz w:val="28"/>
        </w:rPr>
        <w:t>Le XII Tavole si inseriscono nel contesto della presenza di un “contesto giuridico” più antico di quello decemvirale, ossia, il diritto pontificale. Il collegio pontificale prese parte alla redazione delle XII Tavole?</w:t>
      </w:r>
    </w:p>
    <w:p w:rsidR="0009297C" w:rsidRDefault="0009297C" w:rsidP="007D61EE">
      <w:pPr>
        <w:rPr>
          <w:sz w:val="28"/>
        </w:rPr>
      </w:pPr>
      <w:r>
        <w:rPr>
          <w:noProof/>
        </w:rPr>
        <w:lastRenderedPageBreak/>
        <w:drawing>
          <wp:inline distT="0" distB="0" distL="0" distR="0">
            <wp:extent cx="1782025" cy="1796995"/>
            <wp:effectExtent l="19050" t="0" r="8675" b="0"/>
            <wp:docPr id="68" name="Immagine 68" descr="http://www.azionetradizionale.com/blog2/wp-content/uploads/2015/10/augusto-pont-m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azionetradizionale.com/blog2/wp-content/uploads/2015/10/augusto-pont-max.jpg"/>
                    <pic:cNvPicPr>
                      <a:picLocks noChangeAspect="1" noChangeArrowheads="1"/>
                    </pic:cNvPicPr>
                  </pic:nvPicPr>
                  <pic:blipFill>
                    <a:blip r:embed="rId25" cstate="print"/>
                    <a:srcRect/>
                    <a:stretch>
                      <a:fillRect/>
                    </a:stretch>
                  </pic:blipFill>
                  <pic:spPr bwMode="auto">
                    <a:xfrm>
                      <a:off x="0" y="0"/>
                      <a:ext cx="1782912" cy="1797889"/>
                    </a:xfrm>
                    <a:prstGeom prst="rect">
                      <a:avLst/>
                    </a:prstGeom>
                    <a:noFill/>
                    <a:ln w="9525">
                      <a:noFill/>
                      <a:miter lim="800000"/>
                      <a:headEnd/>
                      <a:tailEnd/>
                    </a:ln>
                  </pic:spPr>
                </pic:pic>
              </a:graphicData>
            </a:graphic>
          </wp:inline>
        </w:drawing>
      </w:r>
      <w:r>
        <w:rPr>
          <w:noProof/>
        </w:rPr>
        <w:drawing>
          <wp:inline distT="0" distB="0" distL="0" distR="0">
            <wp:extent cx="1243772" cy="1792609"/>
            <wp:effectExtent l="19050" t="0" r="0" b="0"/>
            <wp:docPr id="71" name="Immagine 71" descr="https://upload.wikimedia.org/wikipedia/commons/thumb/7/7a/Marcus01_pushkin.jpg/170px-Marcus01_pushk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upload.wikimedia.org/wikipedia/commons/thumb/7/7a/Marcus01_pushkin.jpg/170px-Marcus01_pushkin.jpg"/>
                    <pic:cNvPicPr>
                      <a:picLocks noChangeAspect="1" noChangeArrowheads="1"/>
                    </pic:cNvPicPr>
                  </pic:nvPicPr>
                  <pic:blipFill>
                    <a:blip r:embed="rId26"/>
                    <a:srcRect/>
                    <a:stretch>
                      <a:fillRect/>
                    </a:stretch>
                  </pic:blipFill>
                  <pic:spPr bwMode="auto">
                    <a:xfrm>
                      <a:off x="0" y="0"/>
                      <a:ext cx="1245978" cy="1795788"/>
                    </a:xfrm>
                    <a:prstGeom prst="rect">
                      <a:avLst/>
                    </a:prstGeom>
                    <a:noFill/>
                    <a:ln w="9525">
                      <a:noFill/>
                      <a:miter lim="800000"/>
                      <a:headEnd/>
                      <a:tailEnd/>
                    </a:ln>
                  </pic:spPr>
                </pic:pic>
              </a:graphicData>
            </a:graphic>
          </wp:inline>
        </w:drawing>
      </w:r>
      <w:r>
        <w:rPr>
          <w:sz w:val="28"/>
        </w:rPr>
        <w:t>Esempi di Pontefice Massimo</w:t>
      </w:r>
    </w:p>
    <w:p w:rsidR="0009297C" w:rsidRDefault="0009297C" w:rsidP="007D61EE">
      <w:pPr>
        <w:rPr>
          <w:sz w:val="28"/>
        </w:rPr>
      </w:pPr>
      <w:r>
        <w:rPr>
          <w:sz w:val="28"/>
        </w:rPr>
        <w:t xml:space="preserve">D’Ippolito è contrario alla visione di Paul </w:t>
      </w:r>
      <w:proofErr w:type="spellStart"/>
      <w:r>
        <w:rPr>
          <w:sz w:val="28"/>
        </w:rPr>
        <w:t>Joers</w:t>
      </w:r>
      <w:proofErr w:type="spellEnd"/>
      <w:r>
        <w:rPr>
          <w:sz w:val="28"/>
        </w:rPr>
        <w:t xml:space="preserve"> e propone la visione di un dissidio fra il collegio dei pontefici e il collegio decemvirale. D’Ippolito considera opposti il “contesto giuridico” pontificale da quello decemvirale.</w:t>
      </w:r>
    </w:p>
    <w:p w:rsidR="00E52749" w:rsidRDefault="00E52749" w:rsidP="007D61EE">
      <w:pPr>
        <w:rPr>
          <w:sz w:val="28"/>
        </w:rPr>
      </w:pPr>
      <w:r>
        <w:rPr>
          <w:sz w:val="28"/>
        </w:rPr>
        <w:t>Il collegio pontificale si contraddistingue per l’esclusivismo più serrato possibile, è un luogo impenetrabile all’elaborazione o interpretazione altrui. Il collegio pontificale secondo Livio dopo il Sacco Gallico cercò di impedire in ogni modo la riscrittura del testo delle XII Tavole.</w:t>
      </w:r>
    </w:p>
    <w:p w:rsidR="00E52749" w:rsidRDefault="00E52749" w:rsidP="007D61EE">
      <w:pPr>
        <w:rPr>
          <w:sz w:val="28"/>
        </w:rPr>
      </w:pPr>
      <w:r>
        <w:rPr>
          <w:sz w:val="28"/>
        </w:rPr>
        <w:t xml:space="preserve">La </w:t>
      </w:r>
      <w:proofErr w:type="spellStart"/>
      <w:r>
        <w:rPr>
          <w:sz w:val="28"/>
        </w:rPr>
        <w:t>Lex</w:t>
      </w:r>
      <w:proofErr w:type="spellEnd"/>
      <w:r>
        <w:rPr>
          <w:sz w:val="28"/>
        </w:rPr>
        <w:t xml:space="preserve"> </w:t>
      </w:r>
      <w:proofErr w:type="spellStart"/>
      <w:r>
        <w:rPr>
          <w:sz w:val="28"/>
        </w:rPr>
        <w:t>Ogulnia</w:t>
      </w:r>
      <w:proofErr w:type="spellEnd"/>
      <w:r>
        <w:rPr>
          <w:sz w:val="28"/>
        </w:rPr>
        <w:t xml:space="preserve"> del 300 permetterà la partecipazione al collegio pontificale anche ai plebei.</w:t>
      </w:r>
    </w:p>
    <w:p w:rsidR="00E52749" w:rsidRDefault="00E52749" w:rsidP="007D61EE">
      <w:pPr>
        <w:rPr>
          <w:sz w:val="28"/>
        </w:rPr>
      </w:pPr>
      <w:r>
        <w:rPr>
          <w:sz w:val="28"/>
        </w:rPr>
        <w:t>Quindi nel cosmo giuridico romano le XII Tavole sono un evento irripetibile e soprattutto diverso dalle leggi pontificali.</w:t>
      </w:r>
    </w:p>
    <w:p w:rsidR="00E52749" w:rsidRDefault="00E52749" w:rsidP="007D61EE">
      <w:pPr>
        <w:rPr>
          <w:sz w:val="28"/>
        </w:rPr>
      </w:pPr>
      <w:r>
        <w:rPr>
          <w:sz w:val="28"/>
        </w:rPr>
        <w:t xml:space="preserve">La rivolta di Valerio e Orazio è presentata con canoni “democratici”, in realtà, fu “reazionaria”. È così popolare poiché la reazione di Valerio e Orazio era diretta anche contro le cosiddette tavole inique, il divieto del </w:t>
      </w:r>
      <w:proofErr w:type="spellStart"/>
      <w:r>
        <w:rPr>
          <w:sz w:val="28"/>
        </w:rPr>
        <w:t>conubium</w:t>
      </w:r>
      <w:proofErr w:type="spellEnd"/>
      <w:r>
        <w:rPr>
          <w:sz w:val="28"/>
        </w:rPr>
        <w:t xml:space="preserve"> fra patrizi e plebei.</w:t>
      </w:r>
    </w:p>
    <w:p w:rsidR="00E52749" w:rsidRDefault="00E52749" w:rsidP="007D61EE">
      <w:pPr>
        <w:rPr>
          <w:sz w:val="28"/>
        </w:rPr>
      </w:pPr>
      <w:r>
        <w:rPr>
          <w:sz w:val="28"/>
        </w:rPr>
        <w:t>La più grande rivoluzione sancita dalle XII Tavole è di introdurre un diritto rivolto all’</w:t>
      </w:r>
      <w:proofErr w:type="spellStart"/>
      <w:r>
        <w:rPr>
          <w:sz w:val="28"/>
        </w:rPr>
        <w:t>autoresponsabilità</w:t>
      </w:r>
      <w:proofErr w:type="spellEnd"/>
      <w:r>
        <w:rPr>
          <w:sz w:val="28"/>
        </w:rPr>
        <w:t xml:space="preserve"> del singolo insieme alla gamma dei diritti che connotano l’uomo in se e per sé.</w:t>
      </w:r>
    </w:p>
    <w:p w:rsidR="00E52749" w:rsidRDefault="00E52749" w:rsidP="007D61EE">
      <w:pPr>
        <w:rPr>
          <w:color w:val="FF0000"/>
          <w:sz w:val="28"/>
        </w:rPr>
      </w:pPr>
      <w:r>
        <w:rPr>
          <w:color w:val="FF0000"/>
          <w:sz w:val="28"/>
        </w:rPr>
        <w:t>Dal “sacro” al “profano”</w:t>
      </w:r>
    </w:p>
    <w:p w:rsidR="00E52749" w:rsidRDefault="00E52749" w:rsidP="007D61EE">
      <w:pPr>
        <w:rPr>
          <w:sz w:val="28"/>
        </w:rPr>
      </w:pPr>
      <w:r>
        <w:rPr>
          <w:sz w:val="28"/>
        </w:rPr>
        <w:t>Il testo delle XII Tavole non fu intangibile anzi fu ampiamente modificato</w:t>
      </w:r>
      <w:r w:rsidR="00FA26A4">
        <w:rPr>
          <w:sz w:val="28"/>
        </w:rPr>
        <w:t xml:space="preserve"> nei primi anni di legislazione:</w:t>
      </w:r>
    </w:p>
    <w:p w:rsidR="00FA26A4" w:rsidRDefault="00FA26A4" w:rsidP="00FA26A4">
      <w:pPr>
        <w:pStyle w:val="Paragrafoelenco"/>
        <w:numPr>
          <w:ilvl w:val="0"/>
          <w:numId w:val="2"/>
        </w:numPr>
        <w:rPr>
          <w:sz w:val="28"/>
        </w:rPr>
      </w:pPr>
      <w:r>
        <w:rPr>
          <w:sz w:val="28"/>
        </w:rPr>
        <w:t xml:space="preserve">Prevale il principio “quello che il popolo avesse deliberato per ultimo, quello si dovesse intendere come </w:t>
      </w:r>
      <w:proofErr w:type="spellStart"/>
      <w:r>
        <w:rPr>
          <w:sz w:val="28"/>
        </w:rPr>
        <w:t>ius</w:t>
      </w:r>
      <w:proofErr w:type="spellEnd"/>
      <w:r>
        <w:rPr>
          <w:sz w:val="28"/>
        </w:rPr>
        <w:t>”</w:t>
      </w:r>
    </w:p>
    <w:p w:rsidR="00FA26A4" w:rsidRDefault="00FA26A4" w:rsidP="00FA26A4">
      <w:pPr>
        <w:pStyle w:val="Paragrafoelenco"/>
        <w:numPr>
          <w:ilvl w:val="0"/>
          <w:numId w:val="2"/>
        </w:numPr>
        <w:rPr>
          <w:sz w:val="28"/>
        </w:rPr>
      </w:pPr>
      <w:r>
        <w:rPr>
          <w:sz w:val="28"/>
        </w:rPr>
        <w:t xml:space="preserve">Abolizione  del divieto di </w:t>
      </w:r>
      <w:proofErr w:type="spellStart"/>
      <w:r>
        <w:rPr>
          <w:sz w:val="28"/>
        </w:rPr>
        <w:t>conubium</w:t>
      </w:r>
      <w:proofErr w:type="spellEnd"/>
      <w:r>
        <w:rPr>
          <w:sz w:val="28"/>
        </w:rPr>
        <w:t xml:space="preserve"> misto</w:t>
      </w:r>
    </w:p>
    <w:p w:rsidR="00FA26A4" w:rsidRDefault="00FA26A4" w:rsidP="00FA26A4">
      <w:pPr>
        <w:pStyle w:val="Paragrafoelenco"/>
        <w:numPr>
          <w:ilvl w:val="0"/>
          <w:numId w:val="2"/>
        </w:numPr>
        <w:rPr>
          <w:sz w:val="28"/>
        </w:rPr>
      </w:pPr>
      <w:r>
        <w:rPr>
          <w:sz w:val="28"/>
        </w:rPr>
        <w:t>Vetustà  linguistica delle XII Tavole</w:t>
      </w:r>
    </w:p>
    <w:p w:rsidR="00FA26A4" w:rsidRDefault="00FA26A4" w:rsidP="00FA26A4">
      <w:pPr>
        <w:rPr>
          <w:sz w:val="28"/>
        </w:rPr>
      </w:pPr>
      <w:r>
        <w:rPr>
          <w:sz w:val="28"/>
        </w:rPr>
        <w:lastRenderedPageBreak/>
        <w:t>Perché il linguaggio delle XII Tavole non corrisponde al latino arcaico del suo tempo?</w:t>
      </w:r>
    </w:p>
    <w:p w:rsidR="00FA26A4" w:rsidRDefault="00FA26A4" w:rsidP="00FA26A4">
      <w:pPr>
        <w:rPr>
          <w:sz w:val="28"/>
        </w:rPr>
      </w:pPr>
      <w:r>
        <w:rPr>
          <w:sz w:val="28"/>
        </w:rPr>
        <w:t>Prima di tutto il linguaggio delle XII Tavole cerca di adattarsi alla realtà sociale del tempo ma soprattutto il Sacco Gallico del 390 è un momento di crisi evidentissimo. Il testo fu riscritto sulla base della tradizione orale.</w:t>
      </w:r>
    </w:p>
    <w:p w:rsidR="00FA26A4" w:rsidRPr="00FA26A4" w:rsidRDefault="00FA26A4" w:rsidP="00FA26A4">
      <w:pPr>
        <w:rPr>
          <w:sz w:val="28"/>
        </w:rPr>
      </w:pPr>
      <w:r>
        <w:rPr>
          <w:sz w:val="28"/>
        </w:rPr>
        <w:t>Sesto Elio, il primo commentatore, ebbe difficoltà di interpretazione</w:t>
      </w:r>
      <w:r w:rsidR="00FC71C3">
        <w:rPr>
          <w:sz w:val="28"/>
        </w:rPr>
        <w:t xml:space="preserve"> e procedeva per congetture. Sesto elio era un giureconsulto laico famoso ma discendente da famiglia patrizia e avente l’accesso al diritto pontificale. Perché non interpreta correttamente le XII Tavole?</w:t>
      </w:r>
    </w:p>
    <w:p w:rsidR="0009297C" w:rsidRDefault="00FC71C3" w:rsidP="007D61EE">
      <w:pPr>
        <w:rPr>
          <w:sz w:val="28"/>
        </w:rPr>
      </w:pPr>
      <w:r>
        <w:rPr>
          <w:sz w:val="28"/>
        </w:rPr>
        <w:t xml:space="preserve">È un’evidente prova della distanza del collegio decemvirale e del collegio pontificale. </w:t>
      </w:r>
      <w:proofErr w:type="spellStart"/>
      <w:r>
        <w:rPr>
          <w:sz w:val="28"/>
        </w:rPr>
        <w:t>Gneo</w:t>
      </w:r>
      <w:proofErr w:type="spellEnd"/>
      <w:r>
        <w:rPr>
          <w:sz w:val="28"/>
        </w:rPr>
        <w:t xml:space="preserve"> Flavio (scriba, giurista e amico di Appio Claudio il Cieco) pubblicò il primo nucleo del Diritto romano, ossia il calendario e le </w:t>
      </w:r>
      <w:proofErr w:type="spellStart"/>
      <w:r>
        <w:rPr>
          <w:sz w:val="28"/>
        </w:rPr>
        <w:t>legis</w:t>
      </w:r>
      <w:proofErr w:type="spellEnd"/>
      <w:r>
        <w:rPr>
          <w:sz w:val="28"/>
        </w:rPr>
        <w:t xml:space="preserve"> </w:t>
      </w:r>
      <w:proofErr w:type="spellStart"/>
      <w:r>
        <w:rPr>
          <w:sz w:val="28"/>
        </w:rPr>
        <w:t>actiones</w:t>
      </w:r>
      <w:proofErr w:type="spellEnd"/>
      <w:r>
        <w:rPr>
          <w:sz w:val="28"/>
        </w:rPr>
        <w:t xml:space="preserve">, osteggiato fortemente dal collegio dei pontefici. La laicizzazione del diritto pontificale fu ottenuta con uno degli esiti del conflitto degli ordini, ossia, la </w:t>
      </w:r>
      <w:proofErr w:type="spellStart"/>
      <w:r>
        <w:rPr>
          <w:sz w:val="28"/>
        </w:rPr>
        <w:t>Lex</w:t>
      </w:r>
      <w:proofErr w:type="spellEnd"/>
      <w:r>
        <w:rPr>
          <w:sz w:val="28"/>
        </w:rPr>
        <w:t xml:space="preserve"> </w:t>
      </w:r>
      <w:proofErr w:type="spellStart"/>
      <w:r>
        <w:rPr>
          <w:sz w:val="28"/>
        </w:rPr>
        <w:t>Ogulnia</w:t>
      </w:r>
      <w:proofErr w:type="spellEnd"/>
      <w:r>
        <w:rPr>
          <w:sz w:val="28"/>
        </w:rPr>
        <w:t xml:space="preserve"> del 300 a.C. Le XII Tavole aprono a una stagione divulgatrice del diritto contro l’esclusivismo dei collegi pontificali.</w:t>
      </w:r>
    </w:p>
    <w:p w:rsidR="00FC71C3" w:rsidRDefault="00FC71C3" w:rsidP="007D61EE">
      <w:pPr>
        <w:rPr>
          <w:sz w:val="28"/>
        </w:rPr>
      </w:pPr>
      <w:r>
        <w:rPr>
          <w:sz w:val="28"/>
        </w:rPr>
        <w:t xml:space="preserve">È utile raffrontare i momenti giuridici romani: il più arcaico ed esclusivo </w:t>
      </w:r>
      <w:proofErr w:type="spellStart"/>
      <w:r>
        <w:rPr>
          <w:sz w:val="28"/>
        </w:rPr>
        <w:t>ius</w:t>
      </w:r>
      <w:proofErr w:type="spellEnd"/>
      <w:r>
        <w:rPr>
          <w:sz w:val="28"/>
        </w:rPr>
        <w:t xml:space="preserve"> pontificale e la più liberale redazione delle XII Tavole:</w:t>
      </w:r>
    </w:p>
    <w:p w:rsidR="00FC71C3" w:rsidRDefault="00FC71C3" w:rsidP="00FC71C3">
      <w:pPr>
        <w:pStyle w:val="Paragrafoelenco"/>
        <w:numPr>
          <w:ilvl w:val="0"/>
          <w:numId w:val="3"/>
        </w:numPr>
        <w:rPr>
          <w:sz w:val="28"/>
        </w:rPr>
      </w:pPr>
      <w:r>
        <w:rPr>
          <w:sz w:val="28"/>
        </w:rPr>
        <w:t xml:space="preserve">Secondo Tito Livio l’unica pretesa della plebe era di non abrogare la </w:t>
      </w:r>
      <w:proofErr w:type="spellStart"/>
      <w:r>
        <w:rPr>
          <w:sz w:val="28"/>
        </w:rPr>
        <w:t>Lex</w:t>
      </w:r>
      <w:proofErr w:type="spellEnd"/>
      <w:r>
        <w:rPr>
          <w:sz w:val="28"/>
        </w:rPr>
        <w:t xml:space="preserve"> </w:t>
      </w:r>
      <w:proofErr w:type="spellStart"/>
      <w:r>
        <w:rPr>
          <w:sz w:val="28"/>
        </w:rPr>
        <w:t>Sacrata</w:t>
      </w:r>
      <w:proofErr w:type="spellEnd"/>
      <w:r>
        <w:rPr>
          <w:sz w:val="28"/>
        </w:rPr>
        <w:t xml:space="preserve"> e quella </w:t>
      </w:r>
      <w:proofErr w:type="spellStart"/>
      <w:r>
        <w:rPr>
          <w:sz w:val="28"/>
        </w:rPr>
        <w:t>Icilia</w:t>
      </w:r>
      <w:proofErr w:type="spellEnd"/>
      <w:r>
        <w:rPr>
          <w:sz w:val="28"/>
        </w:rPr>
        <w:t xml:space="preserve"> de Aventino pubblicando (concessione di terre sull’Aventino)</w:t>
      </w:r>
      <w:r w:rsidR="00D87CD6">
        <w:rPr>
          <w:sz w:val="28"/>
        </w:rPr>
        <w:t>, da qui la revisione del diritto precedente</w:t>
      </w:r>
    </w:p>
    <w:p w:rsidR="00D87CD6" w:rsidRDefault="00D87CD6" w:rsidP="00FC71C3">
      <w:pPr>
        <w:pStyle w:val="Paragrafoelenco"/>
        <w:numPr>
          <w:ilvl w:val="0"/>
          <w:numId w:val="3"/>
        </w:numPr>
        <w:rPr>
          <w:sz w:val="28"/>
        </w:rPr>
      </w:pPr>
      <w:r>
        <w:rPr>
          <w:sz w:val="28"/>
        </w:rPr>
        <w:t xml:space="preserve">Il diritto precedente era fondato sulle </w:t>
      </w:r>
      <w:proofErr w:type="spellStart"/>
      <w:r>
        <w:rPr>
          <w:sz w:val="28"/>
        </w:rPr>
        <w:t>leges</w:t>
      </w:r>
      <w:proofErr w:type="spellEnd"/>
      <w:r>
        <w:rPr>
          <w:sz w:val="28"/>
        </w:rPr>
        <w:t xml:space="preserve"> </w:t>
      </w:r>
      <w:proofErr w:type="spellStart"/>
      <w:r>
        <w:rPr>
          <w:sz w:val="28"/>
        </w:rPr>
        <w:t>regiae</w:t>
      </w:r>
      <w:proofErr w:type="spellEnd"/>
      <w:r>
        <w:rPr>
          <w:sz w:val="28"/>
        </w:rPr>
        <w:t>, le quali ponevano il “sacro” come la competenza precipua del collegio dei pontefici</w:t>
      </w:r>
    </w:p>
    <w:p w:rsidR="00D87CD6" w:rsidRPr="00D87CD6" w:rsidRDefault="00D87CD6" w:rsidP="00FC71C3">
      <w:pPr>
        <w:pStyle w:val="Paragrafoelenco"/>
        <w:numPr>
          <w:ilvl w:val="0"/>
          <w:numId w:val="3"/>
        </w:numPr>
        <w:rPr>
          <w:sz w:val="28"/>
        </w:rPr>
      </w:pPr>
      <w:r>
        <w:rPr>
          <w:b/>
          <w:sz w:val="28"/>
          <w:u w:val="single"/>
        </w:rPr>
        <w:t xml:space="preserve">Le XII Tavole hanno uno spiccato carattere profano anche se risentono dell’influsso delle </w:t>
      </w:r>
      <w:proofErr w:type="spellStart"/>
      <w:r>
        <w:rPr>
          <w:b/>
          <w:sz w:val="28"/>
          <w:u w:val="single"/>
        </w:rPr>
        <w:t>leges</w:t>
      </w:r>
      <w:proofErr w:type="spellEnd"/>
      <w:r>
        <w:rPr>
          <w:b/>
          <w:sz w:val="28"/>
          <w:u w:val="single"/>
        </w:rPr>
        <w:t xml:space="preserve"> </w:t>
      </w:r>
      <w:proofErr w:type="spellStart"/>
      <w:r>
        <w:rPr>
          <w:b/>
          <w:sz w:val="28"/>
          <w:u w:val="single"/>
        </w:rPr>
        <w:t>regis</w:t>
      </w:r>
      <w:proofErr w:type="spellEnd"/>
      <w:r>
        <w:rPr>
          <w:b/>
          <w:sz w:val="28"/>
          <w:u w:val="single"/>
        </w:rPr>
        <w:t xml:space="preserve">. Le XII Tavole si differenziano tantissimo dalla dimensione cultuale e del modus operandi dei pontefici. Le XII tavole rappresentano un momento di conciliazione dello </w:t>
      </w:r>
      <w:proofErr w:type="spellStart"/>
      <w:r>
        <w:rPr>
          <w:b/>
          <w:sz w:val="28"/>
          <w:u w:val="single"/>
        </w:rPr>
        <w:t>ius</w:t>
      </w:r>
      <w:proofErr w:type="spellEnd"/>
      <w:r>
        <w:rPr>
          <w:b/>
          <w:sz w:val="28"/>
          <w:u w:val="single"/>
        </w:rPr>
        <w:t xml:space="preserve"> pontificale con la dimensione laica del diritto</w:t>
      </w:r>
    </w:p>
    <w:p w:rsidR="00D87CD6" w:rsidRDefault="00D87CD6" w:rsidP="00D87CD6">
      <w:pPr>
        <w:rPr>
          <w:sz w:val="28"/>
        </w:rPr>
      </w:pPr>
      <w:r>
        <w:rPr>
          <w:sz w:val="28"/>
        </w:rPr>
        <w:t>La partecipazione dei pontifici non è compatibile con l’esistenza dell’ambasceria in Grecia e de</w:t>
      </w:r>
      <w:r w:rsidR="00360F5A">
        <w:rPr>
          <w:sz w:val="28"/>
        </w:rPr>
        <w:t xml:space="preserve">lla mediazione di </w:t>
      </w:r>
      <w:proofErr w:type="spellStart"/>
      <w:r w:rsidR="00360F5A">
        <w:rPr>
          <w:sz w:val="28"/>
        </w:rPr>
        <w:t>Ermodoro</w:t>
      </w:r>
      <w:proofErr w:type="spellEnd"/>
      <w:r w:rsidR="00360F5A">
        <w:rPr>
          <w:sz w:val="28"/>
        </w:rPr>
        <w:t xml:space="preserve"> di Ef</w:t>
      </w:r>
      <w:r>
        <w:rPr>
          <w:sz w:val="28"/>
        </w:rPr>
        <w:t>eso.</w:t>
      </w:r>
      <w:r w:rsidR="00360F5A">
        <w:rPr>
          <w:sz w:val="28"/>
        </w:rPr>
        <w:t xml:space="preserve"> Altro elemento importante è che do</w:t>
      </w:r>
      <w:r w:rsidR="00D25B52">
        <w:rPr>
          <w:sz w:val="28"/>
        </w:rPr>
        <w:t>p</w:t>
      </w:r>
      <w:r w:rsidR="00360F5A">
        <w:rPr>
          <w:sz w:val="28"/>
        </w:rPr>
        <w:t>o la caduta de</w:t>
      </w:r>
      <w:r w:rsidR="00D25B52">
        <w:rPr>
          <w:sz w:val="28"/>
        </w:rPr>
        <w:t>l</w:t>
      </w:r>
      <w:r w:rsidR="00360F5A">
        <w:rPr>
          <w:sz w:val="28"/>
        </w:rPr>
        <w:t xml:space="preserve"> decemvirato due noi di pontefici sovrintendevano il collegio per riattivare le </w:t>
      </w:r>
      <w:proofErr w:type="spellStart"/>
      <w:r w:rsidR="00360F5A">
        <w:rPr>
          <w:sz w:val="28"/>
        </w:rPr>
        <w:t>lex</w:t>
      </w:r>
      <w:proofErr w:type="spellEnd"/>
      <w:r w:rsidR="00360F5A">
        <w:rPr>
          <w:sz w:val="28"/>
        </w:rPr>
        <w:t xml:space="preserve"> </w:t>
      </w:r>
      <w:proofErr w:type="spellStart"/>
      <w:r w:rsidR="00360F5A">
        <w:rPr>
          <w:sz w:val="28"/>
        </w:rPr>
        <w:t>sacrata</w:t>
      </w:r>
      <w:proofErr w:type="spellEnd"/>
      <w:r w:rsidR="00360F5A">
        <w:rPr>
          <w:sz w:val="28"/>
        </w:rPr>
        <w:t xml:space="preserve"> ed è probabile un reintegro del collegio dopo il periodo decemvirale.</w:t>
      </w:r>
    </w:p>
    <w:p w:rsidR="00360F5A" w:rsidRDefault="00360F5A" w:rsidP="00D87CD6">
      <w:pPr>
        <w:rPr>
          <w:color w:val="FF0000"/>
          <w:sz w:val="28"/>
        </w:rPr>
      </w:pPr>
      <w:r>
        <w:rPr>
          <w:color w:val="FF0000"/>
          <w:sz w:val="28"/>
        </w:rPr>
        <w:lastRenderedPageBreak/>
        <w:t>La polemica antipontificale</w:t>
      </w:r>
    </w:p>
    <w:p w:rsidR="00360F5A" w:rsidRDefault="000A1FED" w:rsidP="00D87CD6">
      <w:pPr>
        <w:rPr>
          <w:sz w:val="28"/>
        </w:rPr>
      </w:pPr>
      <w:r>
        <w:rPr>
          <w:sz w:val="28"/>
        </w:rPr>
        <w:t xml:space="preserve">Le </w:t>
      </w:r>
      <w:proofErr w:type="spellStart"/>
      <w:r>
        <w:rPr>
          <w:sz w:val="28"/>
        </w:rPr>
        <w:t>leges</w:t>
      </w:r>
      <w:proofErr w:type="spellEnd"/>
      <w:r>
        <w:rPr>
          <w:sz w:val="28"/>
        </w:rPr>
        <w:t xml:space="preserve"> </w:t>
      </w:r>
      <w:proofErr w:type="spellStart"/>
      <w:r>
        <w:rPr>
          <w:sz w:val="28"/>
        </w:rPr>
        <w:t>regiae</w:t>
      </w:r>
      <w:proofErr w:type="spellEnd"/>
      <w:r>
        <w:rPr>
          <w:sz w:val="28"/>
        </w:rPr>
        <w:t xml:space="preserve"> sono state </w:t>
      </w:r>
      <w:proofErr w:type="spellStart"/>
      <w:r>
        <w:rPr>
          <w:sz w:val="28"/>
        </w:rPr>
        <w:t>suu</w:t>
      </w:r>
      <w:r w:rsidR="00360F5A">
        <w:rPr>
          <w:sz w:val="28"/>
        </w:rPr>
        <w:t>ssunte</w:t>
      </w:r>
      <w:proofErr w:type="spellEnd"/>
      <w:r w:rsidR="00360F5A">
        <w:rPr>
          <w:sz w:val="28"/>
        </w:rPr>
        <w:t xml:space="preserve"> </w:t>
      </w:r>
      <w:r>
        <w:rPr>
          <w:sz w:val="28"/>
        </w:rPr>
        <w:t xml:space="preserve">nelle XII Tavole </w:t>
      </w:r>
      <w:r w:rsidR="00360F5A">
        <w:rPr>
          <w:sz w:val="28"/>
        </w:rPr>
        <w:t>con valore generale e sottratte all’</w:t>
      </w:r>
      <w:r>
        <w:rPr>
          <w:sz w:val="28"/>
        </w:rPr>
        <w:t>amministrazione del colle</w:t>
      </w:r>
      <w:r w:rsidR="00360F5A">
        <w:rPr>
          <w:sz w:val="28"/>
        </w:rPr>
        <w:t>gio</w:t>
      </w:r>
      <w:r>
        <w:rPr>
          <w:sz w:val="28"/>
        </w:rPr>
        <w:t>.</w:t>
      </w:r>
    </w:p>
    <w:p w:rsidR="000A1FED" w:rsidRDefault="000A1FED" w:rsidP="00D87CD6">
      <w:pPr>
        <w:rPr>
          <w:sz w:val="28"/>
        </w:rPr>
      </w:pPr>
      <w:r>
        <w:rPr>
          <w:sz w:val="28"/>
        </w:rPr>
        <w:t>Nelle XII Tavole sono presenti formule proibitorie e di divieto in materia funeraria. Cicerone evidenzia come il divieto agisca su usanze già preesistente, ora non più tollerate e prima considerate legittime. Le norme funerarie delle XII Tavole colpiscono le abitudini di derivazione etrusca. Il “processo di abolizione si lega alla normativa di avvicinarsi all’esempio di Solone. Questi divieti fanno parte della 10° tavola. Questo è il più chiaro esempio di intromissione del diritto romano laico nella sfera religiosa del collegio pontificale riguardo all’esclusivismo di un diritto concernente la vita e la morte dei fedeli.</w:t>
      </w:r>
    </w:p>
    <w:p w:rsidR="000A1FED" w:rsidRDefault="000A1FED" w:rsidP="00D87CD6">
      <w:pPr>
        <w:rPr>
          <w:sz w:val="28"/>
        </w:rPr>
      </w:pPr>
      <w:r>
        <w:rPr>
          <w:sz w:val="28"/>
        </w:rPr>
        <w:t>Il lusso funerario viene frenato soprattutto l’inumazione e l’incinerazione.</w:t>
      </w:r>
    </w:p>
    <w:p w:rsidR="000A1FED" w:rsidRDefault="000A1FED" w:rsidP="00D87CD6">
      <w:pPr>
        <w:rPr>
          <w:sz w:val="28"/>
        </w:rPr>
      </w:pPr>
      <w:r>
        <w:rPr>
          <w:sz w:val="28"/>
        </w:rPr>
        <w:t xml:space="preserve">Altro elemento è la famosa vendita del figlio da parte del pater </w:t>
      </w:r>
      <w:proofErr w:type="spellStart"/>
      <w:r>
        <w:rPr>
          <w:sz w:val="28"/>
        </w:rPr>
        <w:t>familias</w:t>
      </w:r>
      <w:proofErr w:type="spellEnd"/>
      <w:r>
        <w:rPr>
          <w:sz w:val="28"/>
        </w:rPr>
        <w:t xml:space="preserve">. Dionigi di Alicarnasso le paragona al diritto di </w:t>
      </w:r>
      <w:proofErr w:type="spellStart"/>
      <w:r>
        <w:rPr>
          <w:sz w:val="28"/>
        </w:rPr>
        <w:t>Numa</w:t>
      </w:r>
      <w:proofErr w:type="spellEnd"/>
      <w:r>
        <w:rPr>
          <w:sz w:val="28"/>
        </w:rPr>
        <w:t xml:space="preserve"> </w:t>
      </w:r>
      <w:proofErr w:type="spellStart"/>
      <w:r>
        <w:rPr>
          <w:sz w:val="28"/>
        </w:rPr>
        <w:t>Pompilio</w:t>
      </w:r>
      <w:proofErr w:type="spellEnd"/>
      <w:r w:rsidR="00F026BF">
        <w:rPr>
          <w:sz w:val="28"/>
        </w:rPr>
        <w:t xml:space="preserve">. Le </w:t>
      </w:r>
      <w:proofErr w:type="spellStart"/>
      <w:r w:rsidR="00F026BF">
        <w:rPr>
          <w:sz w:val="28"/>
        </w:rPr>
        <w:t>l</w:t>
      </w:r>
      <w:r w:rsidR="00D25B52">
        <w:rPr>
          <w:sz w:val="28"/>
        </w:rPr>
        <w:t>eges</w:t>
      </w:r>
      <w:proofErr w:type="spellEnd"/>
      <w:r w:rsidR="00D25B52">
        <w:rPr>
          <w:sz w:val="28"/>
        </w:rPr>
        <w:t xml:space="preserve"> </w:t>
      </w:r>
      <w:proofErr w:type="spellStart"/>
      <w:r w:rsidR="00D25B52">
        <w:rPr>
          <w:sz w:val="28"/>
        </w:rPr>
        <w:t>regiae</w:t>
      </w:r>
      <w:proofErr w:type="spellEnd"/>
      <w:r w:rsidR="00D25B52">
        <w:rPr>
          <w:sz w:val="28"/>
        </w:rPr>
        <w:t xml:space="preserve"> limitavano lo </w:t>
      </w:r>
      <w:proofErr w:type="spellStart"/>
      <w:r w:rsidR="00D25B52">
        <w:rPr>
          <w:sz w:val="28"/>
        </w:rPr>
        <w:t>ius</w:t>
      </w:r>
      <w:proofErr w:type="spellEnd"/>
      <w:r w:rsidR="00D25B52">
        <w:rPr>
          <w:sz w:val="28"/>
        </w:rPr>
        <w:t xml:space="preserve"> </w:t>
      </w:r>
      <w:proofErr w:type="spellStart"/>
      <w:r w:rsidR="00D25B52">
        <w:rPr>
          <w:sz w:val="28"/>
        </w:rPr>
        <w:t>vend</w:t>
      </w:r>
      <w:r w:rsidR="00F026BF">
        <w:rPr>
          <w:sz w:val="28"/>
        </w:rPr>
        <w:t>endi</w:t>
      </w:r>
      <w:proofErr w:type="spellEnd"/>
      <w:r w:rsidR="00F026BF">
        <w:rPr>
          <w:sz w:val="28"/>
        </w:rPr>
        <w:t xml:space="preserve"> dato i facili arricchimenti. I decemviri affermarono il diritto che il figlio venduto per tre volte perdeva la podestà del padre. I decemviri non convalidarono l’altra legge </w:t>
      </w:r>
      <w:proofErr w:type="spellStart"/>
      <w:r w:rsidR="00F026BF">
        <w:rPr>
          <w:sz w:val="28"/>
        </w:rPr>
        <w:t>numaica</w:t>
      </w:r>
      <w:proofErr w:type="spellEnd"/>
      <w:r w:rsidR="00F026BF">
        <w:rPr>
          <w:sz w:val="28"/>
        </w:rPr>
        <w:t xml:space="preserve"> quella in cui il figlio quando contraeva matrimon</w:t>
      </w:r>
      <w:r w:rsidR="00D25B52">
        <w:rPr>
          <w:sz w:val="28"/>
        </w:rPr>
        <w:t>io diveniva libero dalla potestà</w:t>
      </w:r>
      <w:r w:rsidR="00F026BF">
        <w:rPr>
          <w:sz w:val="28"/>
        </w:rPr>
        <w:t xml:space="preserve"> del padre dello </w:t>
      </w:r>
      <w:proofErr w:type="spellStart"/>
      <w:r w:rsidR="00F026BF">
        <w:rPr>
          <w:sz w:val="28"/>
        </w:rPr>
        <w:t>ius</w:t>
      </w:r>
      <w:proofErr w:type="spellEnd"/>
      <w:r w:rsidR="00F026BF">
        <w:rPr>
          <w:sz w:val="28"/>
        </w:rPr>
        <w:t xml:space="preserve"> </w:t>
      </w:r>
      <w:proofErr w:type="spellStart"/>
      <w:r w:rsidR="00F026BF">
        <w:rPr>
          <w:sz w:val="28"/>
        </w:rPr>
        <w:t>vendendi</w:t>
      </w:r>
      <w:proofErr w:type="spellEnd"/>
      <w:r w:rsidR="00F026BF">
        <w:rPr>
          <w:sz w:val="28"/>
        </w:rPr>
        <w:t xml:space="preserve">. Dionigi è un po’ ambiguo poiché afferma sia un diritto greco sia un diritto </w:t>
      </w:r>
      <w:proofErr w:type="spellStart"/>
      <w:r w:rsidR="00F026BF">
        <w:rPr>
          <w:sz w:val="28"/>
        </w:rPr>
        <w:t>romuleo</w:t>
      </w:r>
      <w:proofErr w:type="spellEnd"/>
      <w:r w:rsidR="00F026BF">
        <w:rPr>
          <w:sz w:val="28"/>
        </w:rPr>
        <w:t>.</w:t>
      </w:r>
    </w:p>
    <w:p w:rsidR="00F026BF" w:rsidRDefault="00F026BF" w:rsidP="00D87CD6">
      <w:pPr>
        <w:rPr>
          <w:sz w:val="28"/>
        </w:rPr>
      </w:pPr>
      <w:r>
        <w:rPr>
          <w:sz w:val="28"/>
        </w:rPr>
        <w:t xml:space="preserve">Il divieto del </w:t>
      </w:r>
      <w:proofErr w:type="spellStart"/>
      <w:r>
        <w:rPr>
          <w:sz w:val="28"/>
        </w:rPr>
        <w:t>conubium</w:t>
      </w:r>
      <w:proofErr w:type="spellEnd"/>
      <w:r>
        <w:rPr>
          <w:sz w:val="28"/>
        </w:rPr>
        <w:t xml:space="preserve"> va visto nell’ottica di limitare il sistema di matrimoni stabilito in precedenza.</w:t>
      </w:r>
    </w:p>
    <w:p w:rsidR="00F026BF" w:rsidRDefault="00F026BF" w:rsidP="00D87CD6">
      <w:pPr>
        <w:rPr>
          <w:color w:val="FF0000"/>
          <w:sz w:val="28"/>
        </w:rPr>
      </w:pPr>
      <w:r>
        <w:rPr>
          <w:color w:val="FF0000"/>
          <w:sz w:val="28"/>
        </w:rPr>
        <w:t>Le XII Tavole nella tradizione imperiale</w:t>
      </w:r>
    </w:p>
    <w:p w:rsidR="00933468" w:rsidRDefault="00933468" w:rsidP="00D87CD6">
      <w:pPr>
        <w:rPr>
          <w:sz w:val="28"/>
        </w:rPr>
      </w:pPr>
      <w:r>
        <w:rPr>
          <w:sz w:val="28"/>
        </w:rPr>
        <w:t>Nell’</w:t>
      </w:r>
      <w:proofErr w:type="spellStart"/>
      <w:r>
        <w:rPr>
          <w:sz w:val="28"/>
        </w:rPr>
        <w:t>Enchiridion</w:t>
      </w:r>
      <w:proofErr w:type="spellEnd"/>
      <w:r>
        <w:rPr>
          <w:sz w:val="28"/>
        </w:rPr>
        <w:t xml:space="preserve"> Pomponio convalida la tesi dell’esclusione del collegio pontificale dalla redazione delle XII Tavole. Il giurista dell’età </w:t>
      </w:r>
      <w:proofErr w:type="spellStart"/>
      <w:r>
        <w:rPr>
          <w:sz w:val="28"/>
        </w:rPr>
        <w:t>antonina</w:t>
      </w:r>
      <w:proofErr w:type="spellEnd"/>
      <w:r>
        <w:rPr>
          <w:sz w:val="28"/>
        </w:rPr>
        <w:t xml:space="preserve"> considera le XII Tavole come il nucleo fondante il diritto romano. Le XII Tavole sono citate:</w:t>
      </w:r>
    </w:p>
    <w:p w:rsidR="00F026BF" w:rsidRDefault="00933468" w:rsidP="00933468">
      <w:pPr>
        <w:pStyle w:val="Paragrafoelenco"/>
        <w:numPr>
          <w:ilvl w:val="0"/>
          <w:numId w:val="4"/>
        </w:numPr>
        <w:rPr>
          <w:sz w:val="28"/>
        </w:rPr>
      </w:pPr>
      <w:r w:rsidRPr="00933468">
        <w:rPr>
          <w:sz w:val="28"/>
        </w:rPr>
        <w:t>nella parte iniziale del suo “manuale”, infatti, secondo Pomponio i decemviri ebbero la più alta onorificenza di modifi</w:t>
      </w:r>
      <w:r>
        <w:rPr>
          <w:sz w:val="28"/>
        </w:rPr>
        <w:t>care e interpretare le leggi.</w:t>
      </w:r>
    </w:p>
    <w:p w:rsidR="00933468" w:rsidRDefault="00933468" w:rsidP="00933468">
      <w:pPr>
        <w:pStyle w:val="Paragrafoelenco"/>
        <w:numPr>
          <w:ilvl w:val="0"/>
          <w:numId w:val="4"/>
        </w:numPr>
        <w:rPr>
          <w:sz w:val="28"/>
        </w:rPr>
      </w:pPr>
      <w:r>
        <w:rPr>
          <w:sz w:val="28"/>
        </w:rPr>
        <w:t>Nella parte relativa ai nomi delle magistrature per mettere in risalto lo strapotere dei dec</w:t>
      </w:r>
      <w:r w:rsidR="00D25B52">
        <w:rPr>
          <w:sz w:val="28"/>
        </w:rPr>
        <w:t>e</w:t>
      </w:r>
      <w:r>
        <w:rPr>
          <w:sz w:val="28"/>
        </w:rPr>
        <w:t>mviri</w:t>
      </w:r>
    </w:p>
    <w:p w:rsidR="00933468" w:rsidRDefault="00933468" w:rsidP="00933468">
      <w:pPr>
        <w:pStyle w:val="Paragrafoelenco"/>
        <w:numPr>
          <w:ilvl w:val="0"/>
          <w:numId w:val="4"/>
        </w:numPr>
        <w:rPr>
          <w:sz w:val="28"/>
        </w:rPr>
      </w:pPr>
      <w:r>
        <w:rPr>
          <w:sz w:val="28"/>
        </w:rPr>
        <w:t xml:space="preserve">Nella </w:t>
      </w:r>
      <w:proofErr w:type="spellStart"/>
      <w:r>
        <w:rPr>
          <w:sz w:val="28"/>
        </w:rPr>
        <w:t>successio</w:t>
      </w:r>
      <w:proofErr w:type="spellEnd"/>
      <w:r>
        <w:rPr>
          <w:sz w:val="28"/>
        </w:rPr>
        <w:t xml:space="preserve"> </w:t>
      </w:r>
      <w:proofErr w:type="spellStart"/>
      <w:r>
        <w:rPr>
          <w:sz w:val="28"/>
        </w:rPr>
        <w:t>auctorum</w:t>
      </w:r>
      <w:proofErr w:type="spellEnd"/>
      <w:r>
        <w:rPr>
          <w:sz w:val="28"/>
        </w:rPr>
        <w:t xml:space="preserve"> ricordando l’operato di Appio Claudio e il commentario di Sesto Elio</w:t>
      </w:r>
    </w:p>
    <w:p w:rsidR="00FE5CC0" w:rsidRDefault="00933468" w:rsidP="00933468">
      <w:pPr>
        <w:rPr>
          <w:b/>
          <w:sz w:val="28"/>
          <w:u w:val="single"/>
        </w:rPr>
      </w:pPr>
      <w:r>
        <w:rPr>
          <w:b/>
          <w:sz w:val="28"/>
          <w:u w:val="single"/>
        </w:rPr>
        <w:lastRenderedPageBreak/>
        <w:t>Le XII tavole hanno un profondo significato di chiarificazione normativa, di diritto, di organizzazione costituzionale. Addirittura Appio Claudio</w:t>
      </w:r>
      <w:r w:rsidR="00D92EE7">
        <w:rPr>
          <w:b/>
          <w:sz w:val="28"/>
          <w:u w:val="single"/>
        </w:rPr>
        <w:t xml:space="preserve"> è considerato un esperto di diritto e inserito nella </w:t>
      </w:r>
      <w:proofErr w:type="spellStart"/>
      <w:r w:rsidR="00D92EE7">
        <w:rPr>
          <w:b/>
          <w:sz w:val="28"/>
          <w:u w:val="single"/>
        </w:rPr>
        <w:t>successio</w:t>
      </w:r>
      <w:proofErr w:type="spellEnd"/>
      <w:r w:rsidR="00D92EE7">
        <w:rPr>
          <w:b/>
          <w:sz w:val="28"/>
          <w:u w:val="single"/>
        </w:rPr>
        <w:t xml:space="preserve"> </w:t>
      </w:r>
      <w:proofErr w:type="spellStart"/>
      <w:r w:rsidR="00D92EE7">
        <w:rPr>
          <w:b/>
          <w:sz w:val="28"/>
          <w:u w:val="single"/>
        </w:rPr>
        <w:t>auctorum</w:t>
      </w:r>
      <w:proofErr w:type="spellEnd"/>
      <w:r w:rsidR="00D92EE7">
        <w:rPr>
          <w:b/>
          <w:sz w:val="28"/>
          <w:u w:val="single"/>
        </w:rPr>
        <w:t>.</w:t>
      </w:r>
      <w:r w:rsidR="00FE5CC0">
        <w:rPr>
          <w:b/>
          <w:sz w:val="28"/>
          <w:u w:val="single"/>
        </w:rPr>
        <w:t xml:space="preserve"> Pomponio indica il periodo fra la cacciata dei Tarquini e il periodo decemviral</w:t>
      </w:r>
      <w:r w:rsidR="006D3B74">
        <w:rPr>
          <w:b/>
          <w:sz w:val="28"/>
          <w:u w:val="single"/>
        </w:rPr>
        <w:t>e il diritto si è retto su regole consuetudinarie. Pomponio asserisce che in un periodo successivo alle XII Tavole dominò il diritto pontificale. Quindi il diritto pontificale e quello decemvirale sono diversi.</w:t>
      </w:r>
    </w:p>
    <w:p w:rsidR="006D3B74" w:rsidRDefault="006D3B74" w:rsidP="00933468">
      <w:pPr>
        <w:rPr>
          <w:sz w:val="28"/>
        </w:rPr>
      </w:pPr>
      <w:r>
        <w:rPr>
          <w:sz w:val="28"/>
        </w:rPr>
        <w:t>Evidente il contrasto fra interpreti e i legislatori del diritto decemvirale nel corso della storia romana. Lo stesso Giustiniano ricorda come alto valore la trasmissione del diritto scritto come reminescenza “mediterranea”, ossia la scaturigine del diritto proveniente da Atene e da Sparta.</w:t>
      </w:r>
    </w:p>
    <w:p w:rsidR="006D3B74" w:rsidRPr="006D3B74" w:rsidRDefault="00D67FDA" w:rsidP="00933468">
      <w:pPr>
        <w:rPr>
          <w:sz w:val="28"/>
        </w:rPr>
      </w:pPr>
      <w:r>
        <w:rPr>
          <w:noProof/>
        </w:rPr>
        <w:drawing>
          <wp:inline distT="0" distB="0" distL="0" distR="0">
            <wp:extent cx="1834879" cy="2536466"/>
            <wp:effectExtent l="19050" t="0" r="0" b="0"/>
            <wp:docPr id="74" name="Immagine 74" descr="https://upload.wikimedia.org/wikipedia/commons/thumb/3/3d/Mosaic_of_Justinianus_I_-_Basilica_San_Vitale_(Ravenna).jpg/216px-Mosaic_of_Justinianus_I_-_Basilica_San_Vitale_(Raven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upload.wikimedia.org/wikipedia/commons/thumb/3/3d/Mosaic_of_Justinianus_I_-_Basilica_San_Vitale_(Ravenna).jpg/216px-Mosaic_of_Justinianus_I_-_Basilica_San_Vitale_(Ravenna).jpg"/>
                    <pic:cNvPicPr>
                      <a:picLocks noChangeAspect="1" noChangeArrowheads="1"/>
                    </pic:cNvPicPr>
                  </pic:nvPicPr>
                  <pic:blipFill>
                    <a:blip r:embed="rId27"/>
                    <a:srcRect/>
                    <a:stretch>
                      <a:fillRect/>
                    </a:stretch>
                  </pic:blipFill>
                  <pic:spPr bwMode="auto">
                    <a:xfrm>
                      <a:off x="0" y="0"/>
                      <a:ext cx="1839606" cy="2543000"/>
                    </a:xfrm>
                    <a:prstGeom prst="rect">
                      <a:avLst/>
                    </a:prstGeom>
                    <a:noFill/>
                    <a:ln w="9525">
                      <a:noFill/>
                      <a:miter lim="800000"/>
                      <a:headEnd/>
                      <a:tailEnd/>
                    </a:ln>
                  </pic:spPr>
                </pic:pic>
              </a:graphicData>
            </a:graphic>
          </wp:inline>
        </w:drawing>
      </w:r>
      <w:r>
        <w:rPr>
          <w:noProof/>
        </w:rPr>
        <w:drawing>
          <wp:inline distT="0" distB="0" distL="0" distR="0">
            <wp:extent cx="3781785" cy="2534326"/>
            <wp:effectExtent l="19050" t="0" r="9165" b="0"/>
            <wp:docPr id="77" name="Immagine 77" descr="https://www.ecodelnulla.it/upload/img/zoom/san-vitale-giustiniano_big_video_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www.ecodelnulla.it/upload/img/zoom/san-vitale-giustiniano_big_video_foto.jpg"/>
                    <pic:cNvPicPr>
                      <a:picLocks noChangeAspect="1" noChangeArrowheads="1"/>
                    </pic:cNvPicPr>
                  </pic:nvPicPr>
                  <pic:blipFill>
                    <a:blip r:embed="rId28"/>
                    <a:srcRect/>
                    <a:stretch>
                      <a:fillRect/>
                    </a:stretch>
                  </pic:blipFill>
                  <pic:spPr bwMode="auto">
                    <a:xfrm>
                      <a:off x="0" y="0"/>
                      <a:ext cx="3786834" cy="2537709"/>
                    </a:xfrm>
                    <a:prstGeom prst="rect">
                      <a:avLst/>
                    </a:prstGeom>
                    <a:noFill/>
                    <a:ln w="9525">
                      <a:noFill/>
                      <a:miter lim="800000"/>
                      <a:headEnd/>
                      <a:tailEnd/>
                    </a:ln>
                  </pic:spPr>
                </pic:pic>
              </a:graphicData>
            </a:graphic>
          </wp:inline>
        </w:drawing>
      </w:r>
    </w:p>
    <w:sectPr w:rsidR="006D3B74" w:rsidRPr="006D3B74" w:rsidSect="00492FF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C22F1"/>
    <w:multiLevelType w:val="hybridMultilevel"/>
    <w:tmpl w:val="3DF66B78"/>
    <w:lvl w:ilvl="0" w:tplc="04100001">
      <w:start w:val="1"/>
      <w:numFmt w:val="bullet"/>
      <w:lvlText w:val=""/>
      <w:lvlJc w:val="left"/>
      <w:pPr>
        <w:ind w:left="770" w:hanging="360"/>
      </w:pPr>
      <w:rPr>
        <w:rFonts w:ascii="Symbol" w:hAnsi="Symbol" w:hint="default"/>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1">
    <w:nsid w:val="08FF4614"/>
    <w:multiLevelType w:val="hybridMultilevel"/>
    <w:tmpl w:val="74AEB0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E5026C1"/>
    <w:multiLevelType w:val="hybridMultilevel"/>
    <w:tmpl w:val="FF6690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53B7DA9"/>
    <w:multiLevelType w:val="hybridMultilevel"/>
    <w:tmpl w:val="2E8641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useFELayout/>
  </w:compat>
  <w:rsids>
    <w:rsidRoot w:val="00B307D6"/>
    <w:rsid w:val="0009297C"/>
    <w:rsid w:val="000A1FED"/>
    <w:rsid w:val="0027784D"/>
    <w:rsid w:val="00313858"/>
    <w:rsid w:val="00360F5A"/>
    <w:rsid w:val="003A1FC2"/>
    <w:rsid w:val="00416A64"/>
    <w:rsid w:val="00492FFA"/>
    <w:rsid w:val="004B324A"/>
    <w:rsid w:val="00600E69"/>
    <w:rsid w:val="00602614"/>
    <w:rsid w:val="006D3B74"/>
    <w:rsid w:val="006D7D95"/>
    <w:rsid w:val="007953E6"/>
    <w:rsid w:val="007D61EE"/>
    <w:rsid w:val="008673AF"/>
    <w:rsid w:val="00881AB6"/>
    <w:rsid w:val="00933468"/>
    <w:rsid w:val="00A21957"/>
    <w:rsid w:val="00AA4E0F"/>
    <w:rsid w:val="00B307D6"/>
    <w:rsid w:val="00BD474E"/>
    <w:rsid w:val="00D25B52"/>
    <w:rsid w:val="00D67FDA"/>
    <w:rsid w:val="00D87CD6"/>
    <w:rsid w:val="00D92EE7"/>
    <w:rsid w:val="00E40FD2"/>
    <w:rsid w:val="00E41229"/>
    <w:rsid w:val="00E44F10"/>
    <w:rsid w:val="00E52749"/>
    <w:rsid w:val="00EC3725"/>
    <w:rsid w:val="00F026BF"/>
    <w:rsid w:val="00FA26A4"/>
    <w:rsid w:val="00FC71C3"/>
    <w:rsid w:val="00FE5CC0"/>
    <w:rsid w:val="00FF3A0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92FF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E4122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41229"/>
    <w:rPr>
      <w:rFonts w:ascii="Tahoma" w:hAnsi="Tahoma" w:cs="Tahoma"/>
      <w:sz w:val="16"/>
      <w:szCs w:val="16"/>
    </w:rPr>
  </w:style>
  <w:style w:type="paragraph" w:styleId="Paragrafoelenco">
    <w:name w:val="List Paragraph"/>
    <w:basedOn w:val="Normale"/>
    <w:uiPriority w:val="34"/>
    <w:qFormat/>
    <w:rsid w:val="007D61E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1087</TotalTime>
  <Pages>10</Pages>
  <Words>2221</Words>
  <Characters>12661</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2017-03-13T18:45:00Z</dcterms:created>
  <dcterms:modified xsi:type="dcterms:W3CDTF">2017-03-29T16:21:00Z</dcterms:modified>
</cp:coreProperties>
</file>